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161A32" w:rsidRPr="00B32266" w:rsidTr="00325E41">
        <w:tc>
          <w:tcPr>
            <w:tcW w:w="8522" w:type="dxa"/>
            <w:shd w:val="clear" w:color="auto" w:fill="CCC0D9" w:themeFill="accent4" w:themeFillTint="66"/>
          </w:tcPr>
          <w:p w:rsidR="00161A32" w:rsidRPr="00325E41" w:rsidRDefault="00161A32" w:rsidP="005E6DBC">
            <w:pPr>
              <w:rPr>
                <w:rFonts w:asciiTheme="minorHAnsi" w:hAnsiTheme="minorHAnsi" w:cs="Arial"/>
                <w:b/>
                <w:sz w:val="32"/>
                <w:szCs w:val="32"/>
              </w:rPr>
            </w:pPr>
            <w:r w:rsidRPr="00325E41">
              <w:rPr>
                <w:rFonts w:asciiTheme="minorHAnsi" w:hAnsiTheme="minorHAnsi" w:cs="Arial"/>
                <w:b/>
                <w:sz w:val="32"/>
                <w:szCs w:val="32"/>
              </w:rPr>
              <w:t>STANDARD GUIDANCE</w:t>
            </w:r>
          </w:p>
          <w:p w:rsidR="00161A32" w:rsidRPr="00B32266" w:rsidRDefault="00161A32" w:rsidP="005E6DBC">
            <w:pPr>
              <w:rPr>
                <w:rFonts w:asciiTheme="minorHAnsi" w:hAnsiTheme="minorHAnsi" w:cs="Arial"/>
                <w:sz w:val="20"/>
                <w:szCs w:val="20"/>
              </w:rPr>
            </w:pPr>
          </w:p>
          <w:p w:rsidR="00161A32" w:rsidRPr="00B32266" w:rsidRDefault="007520A7" w:rsidP="005E6DBC">
            <w:pPr>
              <w:rPr>
                <w:rFonts w:asciiTheme="minorHAnsi" w:hAnsiTheme="minorHAnsi" w:cs="Arial"/>
                <w:sz w:val="32"/>
                <w:szCs w:val="32"/>
              </w:rPr>
            </w:pPr>
            <w:r w:rsidRPr="00B32266">
              <w:rPr>
                <w:rFonts w:asciiTheme="minorHAnsi" w:hAnsiTheme="minorHAnsi" w:cs="Arial"/>
                <w:b/>
                <w:sz w:val="32"/>
                <w:szCs w:val="32"/>
              </w:rPr>
              <w:t>(COP 8)  Community</w:t>
            </w:r>
            <w:r w:rsidR="00161A32" w:rsidRPr="00B32266">
              <w:rPr>
                <w:rFonts w:asciiTheme="minorHAnsi" w:hAnsiTheme="minorHAnsi" w:cs="Arial"/>
                <w:b/>
                <w:sz w:val="32"/>
                <w:szCs w:val="32"/>
              </w:rPr>
              <w:t xml:space="preserve"> Development  </w:t>
            </w:r>
          </w:p>
        </w:tc>
      </w:tr>
    </w:tbl>
    <w:p w:rsidR="00161A32" w:rsidRPr="00B32266" w:rsidRDefault="00161A32" w:rsidP="00161A32">
      <w:pPr>
        <w:rPr>
          <w:rFonts w:asciiTheme="minorHAnsi" w:hAnsiTheme="minorHAnsi" w:cs="Arial"/>
          <w:sz w:val="20"/>
          <w:szCs w:val="20"/>
        </w:rPr>
      </w:pPr>
    </w:p>
    <w:p w:rsidR="00161A32" w:rsidRPr="00B32266" w:rsidRDefault="00161A32" w:rsidP="00161A32">
      <w:pP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161A32" w:rsidRPr="00B32266" w:rsidTr="00325E41">
        <w:tc>
          <w:tcPr>
            <w:tcW w:w="8522" w:type="dxa"/>
            <w:shd w:val="clear" w:color="auto" w:fill="CCC0D9" w:themeFill="accent4" w:themeFillTint="66"/>
          </w:tcPr>
          <w:p w:rsidR="00161A32" w:rsidRPr="00B32266" w:rsidRDefault="00161A32" w:rsidP="00161A32">
            <w:pPr>
              <w:numPr>
                <w:ilvl w:val="0"/>
                <w:numId w:val="3"/>
              </w:numPr>
              <w:rPr>
                <w:rFonts w:asciiTheme="minorHAnsi" w:hAnsiTheme="minorHAnsi" w:cs="Arial"/>
                <w:b/>
              </w:rPr>
            </w:pPr>
            <w:r w:rsidRPr="00B32266">
              <w:rPr>
                <w:rFonts w:asciiTheme="minorHAnsi" w:hAnsiTheme="minorHAnsi" w:cs="Arial"/>
                <w:b/>
              </w:rPr>
              <w:t>Definitions and applicability</w:t>
            </w:r>
          </w:p>
        </w:tc>
      </w:tr>
    </w:tbl>
    <w:p w:rsidR="00161A32" w:rsidRPr="00B32266" w:rsidRDefault="00161A32" w:rsidP="00161A32">
      <w:pPr>
        <w:rPr>
          <w:rFonts w:asciiTheme="minorHAnsi" w:hAnsiTheme="minorHAnsi" w:cs="Arial"/>
          <w:b/>
          <w:sz w:val="20"/>
          <w:szCs w:val="20"/>
        </w:rPr>
      </w:pPr>
    </w:p>
    <w:p w:rsidR="00883CA7" w:rsidRDefault="00883CA7" w:rsidP="00883CA7">
      <w:pPr>
        <w:rPr>
          <w:rFonts w:asciiTheme="minorHAnsi" w:hAnsiTheme="minorHAnsi" w:cs="Arial"/>
          <w:sz w:val="20"/>
          <w:szCs w:val="20"/>
        </w:rPr>
      </w:pPr>
      <w:r w:rsidRPr="007020D6">
        <w:rPr>
          <w:rFonts w:asciiTheme="minorHAnsi" w:hAnsiTheme="minorHAnsi" w:cs="Arial"/>
          <w:b/>
          <w:bCs/>
          <w:sz w:val="20"/>
          <w:szCs w:val="20"/>
        </w:rPr>
        <w:t>Community</w:t>
      </w:r>
      <w:r w:rsidRPr="007020D6">
        <w:rPr>
          <w:rFonts w:asciiTheme="minorHAnsi" w:hAnsiTheme="minorHAnsi" w:cs="Arial"/>
          <w:sz w:val="20"/>
          <w:szCs w:val="20"/>
        </w:rPr>
        <w:t xml:space="preserve"> is a term generally applied to the inhabitants of immediate and surrounding areas who are affected in some way by a company’s activities; these effects may be economic and social as well as environmental in nature. </w:t>
      </w:r>
    </w:p>
    <w:p w:rsidR="00883CA7" w:rsidRDefault="00883CA7" w:rsidP="00883CA7">
      <w:pPr>
        <w:rPr>
          <w:rFonts w:asciiTheme="minorHAnsi" w:hAnsiTheme="minorHAnsi" w:cs="Arial"/>
          <w:sz w:val="20"/>
          <w:szCs w:val="20"/>
        </w:rPr>
      </w:pPr>
    </w:p>
    <w:p w:rsidR="00883CA7" w:rsidRPr="00734013" w:rsidRDefault="00883CA7" w:rsidP="00883CA7">
      <w:pPr>
        <w:rPr>
          <w:rFonts w:asciiTheme="minorHAnsi" w:hAnsiTheme="minorHAnsi" w:cs="Arial"/>
          <w:sz w:val="20"/>
          <w:szCs w:val="20"/>
        </w:rPr>
      </w:pPr>
      <w:r w:rsidRPr="007020D6">
        <w:rPr>
          <w:rFonts w:asciiTheme="minorHAnsi" w:hAnsiTheme="minorHAnsi" w:cs="Arial"/>
          <w:sz w:val="20"/>
          <w:szCs w:val="20"/>
        </w:rPr>
        <w:t xml:space="preserve">There is a diversity of values and interests held within a group of people who identify as a community. </w:t>
      </w:r>
      <w:r>
        <w:rPr>
          <w:rFonts w:asciiTheme="minorHAnsi" w:hAnsiTheme="minorHAnsi" w:cs="Arial"/>
          <w:sz w:val="20"/>
          <w:szCs w:val="20"/>
        </w:rPr>
        <w:t xml:space="preserve"> Communities are not</w:t>
      </w:r>
      <w:r w:rsidRPr="007020D6">
        <w:rPr>
          <w:rFonts w:asciiTheme="minorHAnsi" w:hAnsiTheme="minorHAnsi" w:cs="Arial"/>
          <w:sz w:val="20"/>
          <w:szCs w:val="20"/>
        </w:rPr>
        <w:t xml:space="preserve"> homogenous </w:t>
      </w:r>
      <w:r>
        <w:rPr>
          <w:rFonts w:asciiTheme="minorHAnsi" w:hAnsiTheme="minorHAnsi" w:cs="Arial"/>
          <w:sz w:val="20"/>
          <w:szCs w:val="20"/>
        </w:rPr>
        <w:t>or</w:t>
      </w:r>
      <w:r w:rsidRPr="007020D6">
        <w:rPr>
          <w:rFonts w:asciiTheme="minorHAnsi" w:hAnsiTheme="minorHAnsi" w:cs="Arial"/>
          <w:sz w:val="20"/>
          <w:szCs w:val="20"/>
        </w:rPr>
        <w:t xml:space="preserve"> static. </w:t>
      </w:r>
    </w:p>
    <w:p w:rsidR="00883CA7" w:rsidRPr="00734013" w:rsidRDefault="00883CA7" w:rsidP="00883CA7">
      <w:pPr>
        <w:rPr>
          <w:rFonts w:asciiTheme="minorHAnsi" w:hAnsiTheme="minorHAnsi" w:cs="Arial"/>
          <w:sz w:val="20"/>
          <w:szCs w:val="20"/>
        </w:rPr>
      </w:pPr>
      <w:bookmarkStart w:id="0" w:name="_GoBack"/>
      <w:bookmarkEnd w:id="0"/>
    </w:p>
    <w:p w:rsidR="00883CA7" w:rsidRPr="00734013" w:rsidRDefault="00883CA7" w:rsidP="00883CA7">
      <w:pPr>
        <w:rPr>
          <w:rFonts w:asciiTheme="minorHAnsi" w:hAnsiTheme="minorHAnsi" w:cs="Arial"/>
          <w:sz w:val="20"/>
          <w:szCs w:val="20"/>
        </w:rPr>
      </w:pPr>
      <w:r w:rsidRPr="007020D6">
        <w:rPr>
          <w:rFonts w:asciiTheme="minorHAnsi" w:hAnsiTheme="minorHAnsi" w:cs="Arial"/>
          <w:b/>
          <w:bCs/>
          <w:sz w:val="20"/>
          <w:szCs w:val="20"/>
        </w:rPr>
        <w:t>Community development</w:t>
      </w:r>
      <w:r w:rsidRPr="007020D6">
        <w:rPr>
          <w:rFonts w:asciiTheme="minorHAnsi" w:hAnsiTheme="minorHAnsi" w:cs="Arial"/>
          <w:sz w:val="20"/>
          <w:szCs w:val="20"/>
        </w:rPr>
        <w:t xml:space="preserve"> is the process whereby people increase the strength and effectiveness of their communities, improve their quality of life, enhance their participation in decision making and achieve greater long term control over their lives. It is done with, rather than for, communities, thereby reflecting local people’s needs and priorities.  </w:t>
      </w:r>
    </w:p>
    <w:p w:rsidR="00883CA7" w:rsidRPr="00734013" w:rsidRDefault="00883CA7" w:rsidP="00883CA7">
      <w:pPr>
        <w:rPr>
          <w:rFonts w:asciiTheme="minorHAnsi" w:hAnsiTheme="minorHAnsi" w:cs="Arial"/>
          <w:sz w:val="20"/>
          <w:szCs w:val="20"/>
        </w:rPr>
      </w:pPr>
    </w:p>
    <w:p w:rsidR="00883CA7" w:rsidRPr="00734013" w:rsidRDefault="00883CA7" w:rsidP="00883CA7">
      <w:pPr>
        <w:tabs>
          <w:tab w:val="left" w:pos="4777"/>
        </w:tabs>
        <w:rPr>
          <w:rFonts w:asciiTheme="minorHAnsi" w:hAnsiTheme="minorHAnsi" w:cs="Arial"/>
          <w:i/>
          <w:sz w:val="20"/>
          <w:szCs w:val="20"/>
        </w:rPr>
      </w:pPr>
      <w:r w:rsidRPr="007020D6">
        <w:rPr>
          <w:rFonts w:asciiTheme="minorHAnsi" w:hAnsiTheme="minorHAnsi" w:cs="Arial"/>
          <w:i/>
          <w:sz w:val="20"/>
          <w:szCs w:val="20"/>
        </w:rPr>
        <w:t xml:space="preserve">Source: </w:t>
      </w:r>
    </w:p>
    <w:p w:rsidR="00883CA7" w:rsidRPr="00DD096D" w:rsidRDefault="00883CA7" w:rsidP="00883CA7">
      <w:pPr>
        <w:numPr>
          <w:ilvl w:val="0"/>
          <w:numId w:val="16"/>
        </w:numPr>
        <w:rPr>
          <w:rFonts w:asciiTheme="minorHAnsi" w:hAnsiTheme="minorHAnsi" w:cs="Arial"/>
          <w:i/>
          <w:iCs/>
          <w:sz w:val="20"/>
          <w:szCs w:val="20"/>
        </w:rPr>
      </w:pPr>
      <w:r w:rsidRPr="00DD096D">
        <w:rPr>
          <w:rFonts w:asciiTheme="minorHAnsi" w:hAnsiTheme="minorHAnsi" w:cs="Arial"/>
          <w:i/>
          <w:iCs/>
          <w:sz w:val="20"/>
          <w:szCs w:val="20"/>
        </w:rPr>
        <w:t>Leading Practice Sustainable Development Program for the Mining Industry (Australia) - Community Engagement and Development (2006)</w:t>
      </w:r>
      <w:r>
        <w:rPr>
          <w:rFonts w:asciiTheme="minorHAnsi" w:hAnsiTheme="minorHAnsi" w:cs="Arial"/>
          <w:i/>
          <w:iCs/>
          <w:sz w:val="20"/>
          <w:szCs w:val="20"/>
        </w:rPr>
        <w:t xml:space="preserve"> </w:t>
      </w:r>
      <w:hyperlink r:id="rId5" w:history="1">
        <w:r w:rsidRPr="00DD096D">
          <w:rPr>
            <w:rStyle w:val="Hyperlink"/>
            <w:rFonts w:asciiTheme="minorHAnsi" w:hAnsiTheme="minorHAnsi" w:cs="Arial"/>
            <w:i/>
            <w:iCs/>
            <w:sz w:val="20"/>
            <w:szCs w:val="20"/>
          </w:rPr>
          <w:t>www.minerals.org.au/file_upload/files/resources/enduring_value/CED.pdf</w:t>
        </w:r>
      </w:hyperlink>
      <w:r w:rsidRPr="00DD096D">
        <w:rPr>
          <w:rFonts w:asciiTheme="minorHAnsi" w:hAnsiTheme="minorHAnsi" w:cs="Arial"/>
          <w:i/>
          <w:iCs/>
          <w:sz w:val="20"/>
          <w:szCs w:val="20"/>
        </w:rPr>
        <w:t xml:space="preserve"> </w:t>
      </w:r>
    </w:p>
    <w:p w:rsidR="00883CA7" w:rsidRPr="00DD096D" w:rsidRDefault="00883CA7" w:rsidP="00883CA7">
      <w:pPr>
        <w:numPr>
          <w:ilvl w:val="0"/>
          <w:numId w:val="16"/>
        </w:numPr>
        <w:rPr>
          <w:rFonts w:asciiTheme="minorHAnsi" w:hAnsiTheme="minorHAnsi" w:cs="Arial"/>
          <w:i/>
          <w:iCs/>
          <w:sz w:val="20"/>
          <w:szCs w:val="20"/>
        </w:rPr>
      </w:pPr>
      <w:r w:rsidRPr="00DD096D">
        <w:rPr>
          <w:rFonts w:asciiTheme="minorHAnsi" w:hAnsiTheme="minorHAnsi" w:cs="Arial"/>
          <w:i/>
          <w:iCs/>
          <w:sz w:val="20"/>
          <w:szCs w:val="20"/>
        </w:rPr>
        <w:t xml:space="preserve">International Council on Mining and Metals (ICMM) - Community Development Toolkit (2012) </w:t>
      </w:r>
      <w:hyperlink r:id="rId6" w:history="1">
        <w:r w:rsidRPr="00DD096D">
          <w:rPr>
            <w:rStyle w:val="Hyperlink"/>
            <w:rFonts w:asciiTheme="minorHAnsi" w:hAnsiTheme="minorHAnsi"/>
            <w:i/>
            <w:iCs/>
            <w:sz w:val="20"/>
            <w:szCs w:val="20"/>
          </w:rPr>
          <w:t>www.icmm.com/news-and-events/news/articles/icmm-presents-updated-community-development-toolkit</w:t>
        </w:r>
      </w:hyperlink>
    </w:p>
    <w:p w:rsidR="00161A32" w:rsidRPr="00B32266" w:rsidRDefault="00161A32" w:rsidP="00161A32">
      <w:pPr>
        <w:rPr>
          <w:rFonts w:asciiTheme="minorHAnsi" w:hAnsiTheme="minorHAnsi" w:cs="Arial"/>
          <w:sz w:val="20"/>
          <w:szCs w:val="20"/>
        </w:rPr>
      </w:pPr>
    </w:p>
    <w:p w:rsidR="00161A32" w:rsidRPr="00B32266" w:rsidRDefault="00DD23AD" w:rsidP="00161A32">
      <w:pPr>
        <w:rPr>
          <w:rFonts w:asciiTheme="minorHAnsi" w:hAnsiTheme="minorHAnsi" w:cs="Arial"/>
          <w:sz w:val="20"/>
          <w:szCs w:val="20"/>
        </w:rPr>
      </w:pPr>
      <w:r w:rsidRPr="00B32266">
        <w:rPr>
          <w:rFonts w:asciiTheme="minorHAnsi" w:hAnsiTheme="minorHAnsi" w:cs="Arial"/>
          <w:sz w:val="20"/>
          <w:szCs w:val="20"/>
        </w:rPr>
        <w:t>T</w:t>
      </w:r>
      <w:r w:rsidR="00161A32" w:rsidRPr="00B32266">
        <w:rPr>
          <w:rFonts w:asciiTheme="minorHAnsi" w:hAnsiTheme="minorHAnsi" w:cs="Arial"/>
          <w:sz w:val="20"/>
          <w:szCs w:val="20"/>
        </w:rPr>
        <w:t xml:space="preserve">he </w:t>
      </w:r>
      <w:r w:rsidR="00161A32" w:rsidRPr="002A1464">
        <w:rPr>
          <w:rFonts w:asciiTheme="minorHAnsi" w:hAnsiTheme="minorHAnsi" w:cs="Arial"/>
          <w:b/>
          <w:color w:val="31849B" w:themeColor="accent5" w:themeShade="BF"/>
          <w:sz w:val="20"/>
          <w:szCs w:val="20"/>
        </w:rPr>
        <w:t>Community Development</w:t>
      </w:r>
      <w:r w:rsidR="00161A32" w:rsidRPr="00B32266">
        <w:rPr>
          <w:rFonts w:asciiTheme="minorHAnsi" w:hAnsiTheme="minorHAnsi" w:cs="Arial"/>
          <w:sz w:val="20"/>
          <w:szCs w:val="20"/>
        </w:rPr>
        <w:t xml:space="preserve"> sect</w:t>
      </w:r>
      <w:r w:rsidRPr="00B32266">
        <w:rPr>
          <w:rFonts w:asciiTheme="minorHAnsi" w:hAnsiTheme="minorHAnsi" w:cs="Arial"/>
          <w:sz w:val="20"/>
          <w:szCs w:val="20"/>
        </w:rPr>
        <w:t>ion of the COP</w:t>
      </w:r>
      <w:r w:rsidR="00161A32" w:rsidRPr="00B32266">
        <w:rPr>
          <w:rFonts w:asciiTheme="minorHAnsi" w:hAnsiTheme="minorHAnsi" w:cs="Arial"/>
          <w:sz w:val="20"/>
          <w:szCs w:val="20"/>
        </w:rPr>
        <w:t xml:space="preserve"> is applicable to Facilities that operate within a community as defined above</w:t>
      </w:r>
      <w:r w:rsidRPr="00B32266">
        <w:rPr>
          <w:rFonts w:asciiTheme="minorHAnsi" w:hAnsiTheme="minorHAnsi" w:cs="Arial"/>
          <w:sz w:val="20"/>
          <w:szCs w:val="20"/>
        </w:rPr>
        <w:t>.</w:t>
      </w:r>
      <w:r w:rsidR="00BE6597">
        <w:rPr>
          <w:rFonts w:asciiTheme="minorHAnsi" w:hAnsiTheme="minorHAnsi" w:cs="Arial"/>
          <w:sz w:val="20"/>
          <w:szCs w:val="20"/>
        </w:rPr>
        <w:t xml:space="preserve"> </w:t>
      </w:r>
    </w:p>
    <w:p w:rsidR="00161A32" w:rsidRPr="00B32266" w:rsidRDefault="00161A32" w:rsidP="00161A32">
      <w:pPr>
        <w:rPr>
          <w:rFonts w:asciiTheme="minorHAnsi" w:hAnsiTheme="minorHAnsi" w:cs="Arial"/>
          <w:sz w:val="20"/>
          <w:szCs w:val="20"/>
        </w:rPr>
      </w:pPr>
    </w:p>
    <w:p w:rsidR="00161A32" w:rsidRPr="007F354F" w:rsidRDefault="00161A32" w:rsidP="00161A32">
      <w:pPr>
        <w:rPr>
          <w:rFonts w:asciiTheme="minorHAnsi" w:hAnsiTheme="minorHAnsi" w:cs="Arial"/>
          <w:bCs/>
          <w:sz w:val="20"/>
          <w:szCs w:val="20"/>
        </w:rPr>
      </w:pPr>
      <w:r w:rsidRPr="00B32266">
        <w:rPr>
          <w:rFonts w:asciiTheme="minorHAnsi" w:hAnsiTheme="minorHAnsi" w:cs="Arial"/>
          <w:sz w:val="20"/>
          <w:szCs w:val="20"/>
        </w:rPr>
        <w:t xml:space="preserve">The </w:t>
      </w:r>
      <w:r w:rsidRPr="00BB710D">
        <w:rPr>
          <w:rFonts w:asciiTheme="minorHAnsi" w:hAnsiTheme="minorHAnsi" w:cs="Arial"/>
          <w:b/>
          <w:color w:val="31849B" w:themeColor="accent5" w:themeShade="BF"/>
          <w:sz w:val="20"/>
          <w:szCs w:val="20"/>
        </w:rPr>
        <w:t>Community Development</w:t>
      </w:r>
      <w:r w:rsidRPr="00B32266">
        <w:rPr>
          <w:rFonts w:asciiTheme="minorHAnsi" w:hAnsiTheme="minorHAnsi" w:cs="Arial"/>
          <w:sz w:val="20"/>
          <w:szCs w:val="20"/>
        </w:rPr>
        <w:t xml:space="preserve"> provisions should be implemented in conjunction with the </w:t>
      </w:r>
      <w:r w:rsidRPr="00BB710D">
        <w:rPr>
          <w:rFonts w:asciiTheme="minorHAnsi" w:hAnsiTheme="minorHAnsi" w:cs="Arial"/>
          <w:b/>
          <w:color w:val="31849B" w:themeColor="accent5" w:themeShade="BF"/>
          <w:sz w:val="20"/>
          <w:szCs w:val="20"/>
        </w:rPr>
        <w:t>Human Rights</w:t>
      </w:r>
      <w:r w:rsidRPr="00B32266">
        <w:rPr>
          <w:rFonts w:asciiTheme="minorHAnsi" w:hAnsiTheme="minorHAnsi" w:cs="Arial"/>
          <w:sz w:val="20"/>
          <w:szCs w:val="20"/>
        </w:rPr>
        <w:t xml:space="preserve"> and, </w:t>
      </w:r>
      <w:r w:rsidR="0094547F">
        <w:rPr>
          <w:rFonts w:asciiTheme="minorHAnsi" w:hAnsiTheme="minorHAnsi" w:cs="Arial"/>
          <w:sz w:val="20"/>
          <w:szCs w:val="20"/>
        </w:rPr>
        <w:t>for Members in the Mining sector, with</w:t>
      </w:r>
      <w:r w:rsidRPr="00B32266">
        <w:rPr>
          <w:rFonts w:asciiTheme="minorHAnsi" w:hAnsiTheme="minorHAnsi" w:cs="Arial"/>
          <w:sz w:val="20"/>
          <w:szCs w:val="20"/>
        </w:rPr>
        <w:t xml:space="preserve"> </w:t>
      </w:r>
      <w:r w:rsidR="00D90DC3" w:rsidRPr="0094547F">
        <w:rPr>
          <w:rFonts w:asciiTheme="minorHAnsi" w:hAnsiTheme="minorHAnsi" w:cs="Arial"/>
          <w:b/>
          <w:color w:val="31849B" w:themeColor="accent5" w:themeShade="BF"/>
          <w:sz w:val="20"/>
          <w:szCs w:val="20"/>
        </w:rPr>
        <w:t>Community Engagement,</w:t>
      </w:r>
      <w:r w:rsidR="00D90DC3">
        <w:rPr>
          <w:rFonts w:asciiTheme="minorHAnsi" w:hAnsiTheme="minorHAnsi" w:cs="Arial"/>
          <w:sz w:val="20"/>
          <w:szCs w:val="20"/>
        </w:rPr>
        <w:t xml:space="preserve"> </w:t>
      </w:r>
      <w:r w:rsidRPr="00BB710D">
        <w:rPr>
          <w:rFonts w:asciiTheme="minorHAnsi" w:hAnsiTheme="minorHAnsi" w:cs="Arial"/>
          <w:b/>
          <w:color w:val="31849B" w:themeColor="accent5" w:themeShade="BF"/>
          <w:sz w:val="20"/>
          <w:szCs w:val="20"/>
        </w:rPr>
        <w:t>Indigenous Peoples</w:t>
      </w:r>
      <w:r w:rsidR="002A1464" w:rsidRPr="00BB710D">
        <w:rPr>
          <w:rFonts w:asciiTheme="minorHAnsi" w:hAnsiTheme="minorHAnsi" w:cs="Arial"/>
          <w:b/>
          <w:color w:val="31849B" w:themeColor="accent5" w:themeShade="BF"/>
          <w:sz w:val="20"/>
          <w:szCs w:val="20"/>
        </w:rPr>
        <w:t xml:space="preserve"> and Free Prior and Informed Consent</w:t>
      </w:r>
      <w:r w:rsidR="002A1464">
        <w:rPr>
          <w:rFonts w:asciiTheme="minorHAnsi" w:hAnsiTheme="minorHAnsi" w:cs="Arial"/>
          <w:b/>
          <w:sz w:val="20"/>
          <w:szCs w:val="20"/>
        </w:rPr>
        <w:t xml:space="preserve"> </w:t>
      </w:r>
      <w:r w:rsidRPr="00B32266">
        <w:rPr>
          <w:rFonts w:asciiTheme="minorHAnsi" w:hAnsiTheme="minorHAnsi" w:cs="Arial"/>
          <w:sz w:val="20"/>
          <w:szCs w:val="20"/>
        </w:rPr>
        <w:t>provisions and</w:t>
      </w:r>
      <w:r w:rsidRPr="00B32266">
        <w:rPr>
          <w:rFonts w:asciiTheme="minorHAnsi" w:hAnsiTheme="minorHAnsi" w:cs="Arial"/>
          <w:b/>
          <w:sz w:val="20"/>
          <w:szCs w:val="20"/>
        </w:rPr>
        <w:t xml:space="preserve"> </w:t>
      </w:r>
      <w:r w:rsidRPr="00BB710D">
        <w:rPr>
          <w:rFonts w:asciiTheme="minorHAnsi" w:hAnsiTheme="minorHAnsi" w:cs="Arial"/>
          <w:b/>
          <w:color w:val="31849B" w:themeColor="accent5" w:themeShade="BF"/>
          <w:sz w:val="20"/>
          <w:szCs w:val="20"/>
        </w:rPr>
        <w:t>Artisanal and Small-scale Mining</w:t>
      </w:r>
      <w:r w:rsidR="007F354F">
        <w:rPr>
          <w:rFonts w:asciiTheme="minorHAnsi" w:hAnsiTheme="minorHAnsi" w:cs="Arial"/>
          <w:bCs/>
          <w:sz w:val="20"/>
          <w:szCs w:val="20"/>
        </w:rPr>
        <w:t>.</w:t>
      </w:r>
    </w:p>
    <w:p w:rsidR="00161A32" w:rsidRPr="00B32266" w:rsidRDefault="00161A32" w:rsidP="00161A32">
      <w:pP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161A32" w:rsidRPr="00B32266" w:rsidTr="00325E41">
        <w:tc>
          <w:tcPr>
            <w:tcW w:w="8522" w:type="dxa"/>
            <w:shd w:val="clear" w:color="auto" w:fill="CCC0D9" w:themeFill="accent4" w:themeFillTint="66"/>
          </w:tcPr>
          <w:p w:rsidR="00161A32" w:rsidRPr="00B32266" w:rsidRDefault="00161A32" w:rsidP="00161A32">
            <w:pPr>
              <w:numPr>
                <w:ilvl w:val="0"/>
                <w:numId w:val="3"/>
              </w:numPr>
              <w:rPr>
                <w:rFonts w:asciiTheme="minorHAnsi" w:hAnsiTheme="minorHAnsi" w:cs="Arial"/>
                <w:b/>
              </w:rPr>
            </w:pPr>
            <w:r w:rsidRPr="00B32266">
              <w:rPr>
                <w:rFonts w:asciiTheme="minorHAnsi" w:hAnsiTheme="minorHAnsi" w:cs="Arial"/>
                <w:b/>
              </w:rPr>
              <w:t>Issue background</w:t>
            </w:r>
          </w:p>
        </w:tc>
      </w:tr>
    </w:tbl>
    <w:p w:rsidR="00161A32" w:rsidRPr="00B32266" w:rsidRDefault="00161A32" w:rsidP="00161A32">
      <w:pPr>
        <w:rPr>
          <w:rFonts w:asciiTheme="minorHAnsi" w:hAnsiTheme="minorHAnsi" w:cs="Arial"/>
          <w:b/>
          <w:sz w:val="20"/>
          <w:szCs w:val="20"/>
        </w:rPr>
      </w:pPr>
    </w:p>
    <w:p w:rsidR="00161A32" w:rsidRPr="00B32266" w:rsidRDefault="00161A32" w:rsidP="00161A32">
      <w:pPr>
        <w:rPr>
          <w:rFonts w:asciiTheme="minorHAnsi" w:hAnsiTheme="minorHAnsi" w:cs="Arial"/>
          <w:b/>
          <w:i/>
          <w:sz w:val="20"/>
          <w:szCs w:val="20"/>
        </w:rPr>
      </w:pPr>
      <w:r w:rsidRPr="00B32266">
        <w:rPr>
          <w:rFonts w:asciiTheme="minorHAnsi" w:hAnsiTheme="minorHAnsi" w:cs="Arial"/>
          <w:b/>
          <w:i/>
          <w:sz w:val="20"/>
          <w:szCs w:val="20"/>
        </w:rPr>
        <w:t>Community Development</w:t>
      </w:r>
    </w:p>
    <w:p w:rsidR="00161A32" w:rsidRPr="00B32266" w:rsidRDefault="00161A32" w:rsidP="00161A32">
      <w:pPr>
        <w:rPr>
          <w:rFonts w:asciiTheme="minorHAnsi" w:hAnsiTheme="minorHAnsi" w:cs="Arial"/>
          <w:sz w:val="20"/>
          <w:szCs w:val="20"/>
        </w:rPr>
      </w:pPr>
      <w:r w:rsidRPr="00B32266">
        <w:rPr>
          <w:rFonts w:asciiTheme="minorHAnsi" w:hAnsiTheme="minorHAnsi" w:cs="Arial"/>
          <w:sz w:val="20"/>
          <w:szCs w:val="20"/>
        </w:rPr>
        <w:t xml:space="preserve">Community development encompasses economic, social and cultural development and is closely linked with principles of human rights.  Voluntary company contributions to community development can vary markedly across different settings, for example in developed or developing countries, or in rural or city areas.  A company’s approach should be determined by local conditions, including the nature and scale of the business, available resources and partners, and most importantly, local people’s needs and priorities.  </w:t>
      </w:r>
    </w:p>
    <w:p w:rsidR="00161A32" w:rsidRPr="00B32266" w:rsidRDefault="00161A32" w:rsidP="00161A32">
      <w:pPr>
        <w:rPr>
          <w:rFonts w:asciiTheme="minorHAnsi" w:hAnsiTheme="minorHAnsi" w:cs="Arial"/>
          <w:sz w:val="20"/>
          <w:szCs w:val="20"/>
        </w:rPr>
      </w:pPr>
    </w:p>
    <w:p w:rsidR="00161A32" w:rsidRPr="00B32266" w:rsidRDefault="00161A32" w:rsidP="00161A32">
      <w:pPr>
        <w:rPr>
          <w:rFonts w:asciiTheme="minorHAnsi" w:hAnsiTheme="minorHAnsi" w:cs="Arial"/>
          <w:sz w:val="20"/>
          <w:szCs w:val="20"/>
        </w:rPr>
      </w:pPr>
      <w:r w:rsidRPr="00B32266">
        <w:rPr>
          <w:rFonts w:asciiTheme="minorHAnsi" w:hAnsiTheme="minorHAnsi" w:cs="Arial"/>
          <w:sz w:val="20"/>
          <w:szCs w:val="20"/>
        </w:rPr>
        <w:t xml:space="preserve">Community consultation, regional cooperation and partnering with other agencies are essential parts of designing sustainable community development.  Businesses should seek to work in support of local community priorities, national development goals and existing programs wherever possible and appropriate.  Programs often have a long term focus and can address issues such as education, health, gender, environment, economic development and cultural activities.  Where practical, businesses should avoid filling roles which are the responsibility of others, especially governments, and should instead take a partnership or collaborative approach to community development. </w:t>
      </w:r>
    </w:p>
    <w:p w:rsidR="00161A32" w:rsidRPr="00B32266" w:rsidRDefault="00161A32" w:rsidP="00161A32">
      <w:pPr>
        <w:rPr>
          <w:rFonts w:asciiTheme="minorHAnsi" w:hAnsiTheme="minorHAnsi" w:cs="Arial"/>
          <w:sz w:val="20"/>
          <w:szCs w:val="20"/>
        </w:rPr>
      </w:pPr>
    </w:p>
    <w:p w:rsidR="00161A32" w:rsidRPr="00B32266" w:rsidRDefault="00161A32" w:rsidP="00161A32">
      <w:pPr>
        <w:rPr>
          <w:rFonts w:asciiTheme="minorHAnsi" w:hAnsiTheme="minorHAnsi" w:cs="Arial"/>
          <w:sz w:val="20"/>
          <w:szCs w:val="20"/>
        </w:rPr>
      </w:pPr>
      <w:r w:rsidRPr="00B32266">
        <w:rPr>
          <w:rFonts w:asciiTheme="minorHAnsi" w:hAnsiTheme="minorHAnsi" w:cs="Arial"/>
          <w:sz w:val="20"/>
          <w:szCs w:val="20"/>
        </w:rPr>
        <w:t>Practical approaches to community development can include:</w:t>
      </w:r>
    </w:p>
    <w:p w:rsidR="00161A32" w:rsidRPr="00B32266" w:rsidRDefault="00161A32" w:rsidP="00161A32">
      <w:pPr>
        <w:numPr>
          <w:ilvl w:val="0"/>
          <w:numId w:val="4"/>
        </w:numPr>
        <w:rPr>
          <w:rFonts w:asciiTheme="minorHAnsi" w:hAnsiTheme="minorHAnsi" w:cs="Arial"/>
          <w:sz w:val="20"/>
          <w:szCs w:val="20"/>
        </w:rPr>
      </w:pPr>
      <w:r w:rsidRPr="00B32266">
        <w:rPr>
          <w:rFonts w:asciiTheme="minorHAnsi" w:hAnsiTheme="minorHAnsi" w:cs="Arial"/>
          <w:sz w:val="20"/>
          <w:szCs w:val="20"/>
        </w:rPr>
        <w:t>Designing programs for training, employing and retaining underutilised workers;</w:t>
      </w:r>
    </w:p>
    <w:p w:rsidR="00161A32" w:rsidRPr="00B32266" w:rsidRDefault="00161A32" w:rsidP="00161A32">
      <w:pPr>
        <w:numPr>
          <w:ilvl w:val="0"/>
          <w:numId w:val="4"/>
        </w:numPr>
        <w:rPr>
          <w:rFonts w:asciiTheme="minorHAnsi" w:hAnsiTheme="minorHAnsi" w:cs="Arial"/>
          <w:sz w:val="20"/>
          <w:szCs w:val="20"/>
        </w:rPr>
      </w:pPr>
      <w:r w:rsidRPr="00B32266">
        <w:rPr>
          <w:rFonts w:asciiTheme="minorHAnsi" w:hAnsiTheme="minorHAnsi" w:cs="Arial"/>
          <w:sz w:val="20"/>
          <w:szCs w:val="20"/>
        </w:rPr>
        <w:lastRenderedPageBreak/>
        <w:t>Offering supplier diversity programs;</w:t>
      </w:r>
    </w:p>
    <w:p w:rsidR="00161A32" w:rsidRPr="00B32266" w:rsidRDefault="00161A32" w:rsidP="00161A32">
      <w:pPr>
        <w:numPr>
          <w:ilvl w:val="0"/>
          <w:numId w:val="4"/>
        </w:numPr>
        <w:rPr>
          <w:rFonts w:asciiTheme="minorHAnsi" w:hAnsiTheme="minorHAnsi" w:cs="Arial"/>
          <w:sz w:val="20"/>
          <w:szCs w:val="20"/>
        </w:rPr>
      </w:pPr>
      <w:r w:rsidRPr="00B32266">
        <w:rPr>
          <w:rFonts w:asciiTheme="minorHAnsi" w:hAnsiTheme="minorHAnsi" w:cs="Arial"/>
          <w:sz w:val="20"/>
          <w:szCs w:val="20"/>
        </w:rPr>
        <w:t>Supporting community-based and minority-owned businesses;</w:t>
      </w:r>
    </w:p>
    <w:p w:rsidR="00161A32" w:rsidRPr="00B32266" w:rsidRDefault="00161A32" w:rsidP="00161A32">
      <w:pPr>
        <w:numPr>
          <w:ilvl w:val="0"/>
          <w:numId w:val="4"/>
        </w:numPr>
        <w:rPr>
          <w:rFonts w:asciiTheme="minorHAnsi" w:hAnsiTheme="minorHAnsi" w:cs="Arial"/>
          <w:sz w:val="20"/>
          <w:szCs w:val="20"/>
        </w:rPr>
      </w:pPr>
      <w:r w:rsidRPr="00B32266">
        <w:rPr>
          <w:rFonts w:asciiTheme="minorHAnsi" w:hAnsiTheme="minorHAnsi" w:cs="Arial"/>
          <w:sz w:val="20"/>
          <w:szCs w:val="20"/>
        </w:rPr>
        <w:t>Investing in community development financial instruments and institutions;</w:t>
      </w:r>
    </w:p>
    <w:p w:rsidR="00161A32" w:rsidRPr="00B32266" w:rsidRDefault="00161A32" w:rsidP="00161A32">
      <w:pPr>
        <w:numPr>
          <w:ilvl w:val="0"/>
          <w:numId w:val="4"/>
        </w:numPr>
        <w:rPr>
          <w:rFonts w:asciiTheme="minorHAnsi" w:hAnsiTheme="minorHAnsi" w:cs="Arial"/>
          <w:sz w:val="20"/>
          <w:szCs w:val="20"/>
        </w:rPr>
      </w:pPr>
      <w:r w:rsidRPr="00B32266">
        <w:rPr>
          <w:rFonts w:asciiTheme="minorHAnsi" w:hAnsiTheme="minorHAnsi" w:cs="Arial"/>
          <w:sz w:val="20"/>
          <w:szCs w:val="20"/>
        </w:rPr>
        <w:t>Siting retail stores, headquarters, manufacturing, warehouses or logistics facilities in underserved markets;</w:t>
      </w:r>
    </w:p>
    <w:p w:rsidR="00161A32" w:rsidRPr="00B32266" w:rsidRDefault="00161A32" w:rsidP="00161A32">
      <w:pPr>
        <w:numPr>
          <w:ilvl w:val="0"/>
          <w:numId w:val="4"/>
        </w:numPr>
        <w:rPr>
          <w:rFonts w:asciiTheme="minorHAnsi" w:hAnsiTheme="minorHAnsi" w:cs="Arial"/>
          <w:sz w:val="20"/>
          <w:szCs w:val="20"/>
        </w:rPr>
      </w:pPr>
      <w:r w:rsidRPr="00B32266">
        <w:rPr>
          <w:rFonts w:asciiTheme="minorHAnsi" w:hAnsiTheme="minorHAnsi" w:cs="Arial"/>
          <w:sz w:val="20"/>
          <w:szCs w:val="20"/>
        </w:rPr>
        <w:t>Liaising with local and regional educational centres to promote excellence in educational opportunities;</w:t>
      </w:r>
    </w:p>
    <w:p w:rsidR="00161A32" w:rsidRPr="00B32266" w:rsidRDefault="00161A32" w:rsidP="00161A32">
      <w:pPr>
        <w:numPr>
          <w:ilvl w:val="0"/>
          <w:numId w:val="4"/>
        </w:numPr>
        <w:rPr>
          <w:rFonts w:asciiTheme="minorHAnsi" w:hAnsiTheme="minorHAnsi" w:cs="Arial"/>
          <w:sz w:val="20"/>
          <w:szCs w:val="20"/>
        </w:rPr>
      </w:pPr>
      <w:r w:rsidRPr="00B32266">
        <w:rPr>
          <w:rFonts w:asciiTheme="minorHAnsi" w:hAnsiTheme="minorHAnsi" w:cs="Arial"/>
          <w:sz w:val="20"/>
          <w:szCs w:val="20"/>
        </w:rPr>
        <w:t>Training local community members in environmental monitoring and natural resource management.</w:t>
      </w:r>
    </w:p>
    <w:p w:rsidR="00161A32" w:rsidRPr="00B32266" w:rsidRDefault="00161A32" w:rsidP="00161A32">
      <w:pPr>
        <w:ind w:left="720"/>
        <w:rPr>
          <w:rFonts w:asciiTheme="minorHAnsi" w:hAnsiTheme="minorHAnsi" w:cs="Arial"/>
          <w:sz w:val="20"/>
          <w:szCs w:val="20"/>
        </w:rPr>
      </w:pPr>
    </w:p>
    <w:p w:rsidR="00161A32" w:rsidRPr="00B32266" w:rsidRDefault="00161A32" w:rsidP="00161A32">
      <w:pPr>
        <w:rPr>
          <w:rFonts w:asciiTheme="minorHAnsi" w:hAnsiTheme="minorHAnsi" w:cs="Arial"/>
          <w:sz w:val="20"/>
          <w:szCs w:val="20"/>
        </w:rPr>
      </w:pPr>
      <w:r w:rsidRPr="00B32266">
        <w:rPr>
          <w:rFonts w:asciiTheme="minorHAnsi" w:hAnsiTheme="minorHAnsi" w:cs="Arial"/>
          <w:sz w:val="20"/>
          <w:szCs w:val="20"/>
        </w:rPr>
        <w:t>In a mining context, the existence of a mine and its associated community development programs can play a significant, perhaps dominant, role in local, regional or even national development.  This calls for greater rigour in program planning and design.  The following may need to be addressed:</w:t>
      </w:r>
    </w:p>
    <w:p w:rsidR="00161A32" w:rsidRPr="00B32266" w:rsidRDefault="00161A32" w:rsidP="00161A32">
      <w:pPr>
        <w:numPr>
          <w:ilvl w:val="0"/>
          <w:numId w:val="10"/>
        </w:numPr>
        <w:rPr>
          <w:rFonts w:asciiTheme="minorHAnsi" w:hAnsiTheme="minorHAnsi" w:cs="Arial"/>
          <w:sz w:val="20"/>
          <w:szCs w:val="20"/>
        </w:rPr>
      </w:pPr>
      <w:r w:rsidRPr="00B32266">
        <w:rPr>
          <w:rFonts w:asciiTheme="minorHAnsi" w:hAnsiTheme="minorHAnsi" w:cs="Arial"/>
          <w:sz w:val="20"/>
          <w:szCs w:val="20"/>
        </w:rPr>
        <w:t>Baselines, monitoring and regular evaluations of socio-economic impacts, working with development partners and local community members as appropriate;</w:t>
      </w:r>
    </w:p>
    <w:p w:rsidR="00161A32" w:rsidRPr="00B32266" w:rsidRDefault="00161A32" w:rsidP="00161A32">
      <w:pPr>
        <w:numPr>
          <w:ilvl w:val="0"/>
          <w:numId w:val="10"/>
        </w:numPr>
        <w:rPr>
          <w:rFonts w:asciiTheme="minorHAnsi" w:hAnsiTheme="minorHAnsi" w:cs="Arial"/>
          <w:sz w:val="20"/>
          <w:szCs w:val="20"/>
        </w:rPr>
      </w:pPr>
      <w:r w:rsidRPr="00B32266">
        <w:rPr>
          <w:rFonts w:asciiTheme="minorHAnsi" w:hAnsiTheme="minorHAnsi" w:cs="Arial"/>
          <w:sz w:val="20"/>
          <w:szCs w:val="20"/>
        </w:rPr>
        <w:t>Skills and capacity building for community participation and ability to take up program opportunities during the life of an operation;</w:t>
      </w:r>
    </w:p>
    <w:p w:rsidR="00161A32" w:rsidRPr="00B32266" w:rsidRDefault="00161A32" w:rsidP="00161A32">
      <w:pPr>
        <w:numPr>
          <w:ilvl w:val="0"/>
          <w:numId w:val="10"/>
        </w:numPr>
        <w:rPr>
          <w:rFonts w:asciiTheme="minorHAnsi" w:hAnsiTheme="minorHAnsi" w:cs="Arial"/>
          <w:sz w:val="20"/>
          <w:szCs w:val="20"/>
        </w:rPr>
      </w:pPr>
      <w:r w:rsidRPr="00B32266">
        <w:rPr>
          <w:rFonts w:asciiTheme="minorHAnsi" w:hAnsiTheme="minorHAnsi" w:cs="Arial"/>
          <w:sz w:val="20"/>
          <w:szCs w:val="20"/>
        </w:rPr>
        <w:t>Multi-stakeholder planning and capacity development for post-mining livelihoods.</w:t>
      </w:r>
    </w:p>
    <w:p w:rsidR="00161A32" w:rsidRPr="00B32266" w:rsidRDefault="00161A32" w:rsidP="00161A32">
      <w:pPr>
        <w:rPr>
          <w:rFonts w:asciiTheme="minorHAnsi" w:hAnsiTheme="minorHAnsi" w:cs="Arial"/>
          <w:sz w:val="20"/>
          <w:szCs w:val="20"/>
        </w:rPr>
      </w:pPr>
    </w:p>
    <w:p w:rsidR="00161A32" w:rsidRPr="00B32266" w:rsidRDefault="00161A32" w:rsidP="00161A32">
      <w:pPr>
        <w:rPr>
          <w:rFonts w:asciiTheme="minorHAnsi" w:hAnsiTheme="minorHAnsi" w:cs="Arial"/>
          <w:sz w:val="20"/>
          <w:szCs w:val="20"/>
        </w:rPr>
      </w:pPr>
      <w:r w:rsidRPr="00B32266">
        <w:rPr>
          <w:rFonts w:asciiTheme="minorHAnsi" w:hAnsiTheme="minorHAnsi" w:cs="Arial"/>
          <w:sz w:val="20"/>
          <w:szCs w:val="20"/>
        </w:rPr>
        <w:t xml:space="preserve">Community development can be a challenging concept to apply in practice.  Issues to consider include creating opportunities so that women can participate more meaningfully in decision-making processes and development opportunities; sharing control with communities; reaching marginalised and vulnerable people in communities; balancing expert knowledge with community knowledge; and contributing to longer term local sustainable development strategies.  In some cultures, businesses may be active in community development activities but reluctant to promote them publicly, as this is considered contrary to the spirit of the giving.  </w:t>
      </w:r>
    </w:p>
    <w:p w:rsidR="00161A32" w:rsidRPr="00B32266" w:rsidRDefault="00161A32" w:rsidP="00161A32">
      <w:pPr>
        <w:rPr>
          <w:rFonts w:asciiTheme="minorHAnsi" w:hAnsiTheme="minorHAnsi" w:cs="Arial"/>
          <w:sz w:val="20"/>
          <w:szCs w:val="20"/>
        </w:rPr>
      </w:pPr>
    </w:p>
    <w:p w:rsidR="00161A32" w:rsidRPr="00B32266" w:rsidRDefault="00161A32" w:rsidP="00161A32">
      <w:pPr>
        <w:rPr>
          <w:rFonts w:asciiTheme="minorHAnsi" w:hAnsiTheme="minorHAnsi" w:cs="Arial"/>
          <w:sz w:val="20"/>
          <w:szCs w:val="20"/>
        </w:rPr>
      </w:pPr>
      <w:r w:rsidRPr="00B32266">
        <w:rPr>
          <w:rFonts w:asciiTheme="minorHAnsi" w:hAnsiTheme="minorHAnsi" w:cs="Arial"/>
          <w:sz w:val="20"/>
          <w:szCs w:val="20"/>
        </w:rPr>
        <w:t>Despite the challenges, successful community development efforts can help to address workforce recruitment and retention, enhance brand image and employee loyalty and contribute to healthier communities.</w:t>
      </w:r>
    </w:p>
    <w:p w:rsidR="00161A32" w:rsidRPr="00B32266" w:rsidRDefault="00161A32" w:rsidP="00161A32">
      <w:pPr>
        <w:rPr>
          <w:rFonts w:asciiTheme="minorHAnsi" w:hAnsiTheme="minorHAnsi" w:cs="Arial"/>
          <w:sz w:val="20"/>
          <w:szCs w:val="20"/>
        </w:rPr>
      </w:pPr>
      <w:r w:rsidRPr="00B32266">
        <w:rPr>
          <w:rFonts w:asciiTheme="minorHAnsi" w:hAnsiTheme="minorHAnsi" w:cs="Arial"/>
          <w:sz w:val="20"/>
          <w:szCs w:val="20"/>
        </w:rPr>
        <w:t xml:space="preserve">Negotiated settlements help avoid expropriation and eliminate the use of governmental authority to remove people forcibly.  Negotiated settlements can usually be achieved by providing fair and appropriate compensation and other incentives or benefits to affected persons or communities, and by mitigating the risks of asymmetry of information and bargaining power.  Members are encouraged to acquire land rights and/or access through negotiated settlements wherever possible.  However consideration should be given to the rights of vulnerable people, such as those renting land from a landholder who is involved in negotiations. </w:t>
      </w:r>
    </w:p>
    <w:p w:rsidR="00161A32" w:rsidRPr="00B32266" w:rsidRDefault="00161A32" w:rsidP="00161A32">
      <w:pP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161A32" w:rsidRPr="00B32266" w:rsidTr="00325E41">
        <w:tc>
          <w:tcPr>
            <w:tcW w:w="8522" w:type="dxa"/>
            <w:shd w:val="clear" w:color="auto" w:fill="CCC0D9" w:themeFill="accent4" w:themeFillTint="66"/>
          </w:tcPr>
          <w:p w:rsidR="00161A32" w:rsidRPr="00B32266" w:rsidRDefault="00161A32" w:rsidP="00161A32">
            <w:pPr>
              <w:numPr>
                <w:ilvl w:val="0"/>
                <w:numId w:val="3"/>
              </w:numPr>
              <w:rPr>
                <w:rFonts w:asciiTheme="minorHAnsi" w:hAnsiTheme="minorHAnsi" w:cs="Arial"/>
                <w:b/>
              </w:rPr>
            </w:pPr>
            <w:r w:rsidRPr="00B32266">
              <w:rPr>
                <w:rFonts w:asciiTheme="minorHAnsi" w:hAnsiTheme="minorHAnsi" w:cs="Arial"/>
                <w:b/>
              </w:rPr>
              <w:t>Key initiatives and frameworks</w:t>
            </w:r>
          </w:p>
        </w:tc>
      </w:tr>
    </w:tbl>
    <w:p w:rsidR="00161A32" w:rsidRPr="00B32266" w:rsidRDefault="00161A32" w:rsidP="00161A32">
      <w:pPr>
        <w:rPr>
          <w:rFonts w:asciiTheme="minorHAnsi" w:hAnsiTheme="minorHAnsi" w:cs="Arial"/>
          <w:b/>
          <w:sz w:val="20"/>
          <w:szCs w:val="20"/>
        </w:rPr>
      </w:pPr>
    </w:p>
    <w:p w:rsidR="00161A32" w:rsidRPr="00B32266" w:rsidRDefault="00161A32" w:rsidP="00161A32">
      <w:pPr>
        <w:rPr>
          <w:rFonts w:asciiTheme="minorHAnsi" w:hAnsiTheme="minorHAnsi" w:cs="Arial"/>
          <w:b/>
          <w:sz w:val="20"/>
          <w:szCs w:val="20"/>
        </w:rPr>
      </w:pPr>
      <w:r w:rsidRPr="00B32266">
        <w:rPr>
          <w:rFonts w:asciiTheme="minorHAnsi" w:hAnsiTheme="minorHAnsi" w:cs="Arial"/>
          <w:b/>
          <w:sz w:val="20"/>
          <w:szCs w:val="20"/>
        </w:rPr>
        <w:t>Community development</w:t>
      </w:r>
    </w:p>
    <w:p w:rsidR="00161A32" w:rsidRPr="00B32266" w:rsidRDefault="00161A32" w:rsidP="00161A32">
      <w:pPr>
        <w:rPr>
          <w:rFonts w:asciiTheme="minorHAnsi" w:hAnsiTheme="minorHAnsi" w:cs="Arial"/>
          <w:sz w:val="20"/>
          <w:szCs w:val="20"/>
        </w:rPr>
      </w:pPr>
      <w:r w:rsidRPr="00B32266">
        <w:rPr>
          <w:rFonts w:asciiTheme="minorHAnsi" w:hAnsiTheme="minorHAnsi" w:cs="Arial"/>
          <w:sz w:val="20"/>
          <w:szCs w:val="20"/>
        </w:rPr>
        <w:t>Community development is in most cases a voluntary business activity.  However it is increasingly a component of agreements with communities or governments, or a regulatory requirement as part of development approvals for new or expanding industrial projects.  It is essential to be aware of applicable law in all jurisdictions of operation.</w:t>
      </w:r>
    </w:p>
    <w:p w:rsidR="00161A32" w:rsidRPr="00B32266" w:rsidRDefault="00161A32" w:rsidP="00161A32">
      <w:pPr>
        <w:rPr>
          <w:rFonts w:asciiTheme="minorHAnsi" w:hAnsiTheme="minorHAnsi" w:cs="Arial"/>
          <w:sz w:val="20"/>
          <w:szCs w:val="20"/>
        </w:rPr>
      </w:pPr>
    </w:p>
    <w:p w:rsidR="00161A32" w:rsidRDefault="00161A32" w:rsidP="00161A32">
      <w:pPr>
        <w:rPr>
          <w:rFonts w:asciiTheme="minorHAnsi" w:hAnsiTheme="minorHAnsi" w:cs="Arial"/>
          <w:sz w:val="20"/>
          <w:szCs w:val="20"/>
        </w:rPr>
      </w:pPr>
      <w:r w:rsidRPr="00B32266">
        <w:rPr>
          <w:rFonts w:asciiTheme="minorHAnsi" w:hAnsiTheme="minorHAnsi" w:cs="Arial"/>
          <w:sz w:val="20"/>
          <w:szCs w:val="20"/>
        </w:rPr>
        <w:t>A key international framework for development is the Millennium Development Goals (MDGs) program of the United Nations Development Programme (UNDP).  There are eight MDGs – end poverty and hunger, universal education, gender equality, child health, maternal health, combat HIV/AIDS, environmental sustainability, and global partnerships.  Together these MDGs form a blueprint agreed to by the all the world’s nations and all the world’s leading development institutions, with a timeframe to 2015.  While the MDGs are committed to by governments, they provide an important framework for community development planning by the private sector and civil society organisations.</w:t>
      </w:r>
    </w:p>
    <w:p w:rsidR="004B3FBA" w:rsidRDefault="004B3FBA" w:rsidP="00161A32">
      <w:pPr>
        <w:autoSpaceDE w:val="0"/>
        <w:autoSpaceDN w:val="0"/>
        <w:adjustRightInd w:val="0"/>
        <w:rPr>
          <w:rFonts w:asciiTheme="minorHAnsi" w:hAnsiTheme="minorHAnsi" w:cs="Arial"/>
          <w:sz w:val="20"/>
          <w:szCs w:val="20"/>
        </w:rPr>
      </w:pPr>
    </w:p>
    <w:p w:rsidR="00A66300" w:rsidRDefault="00A66300" w:rsidP="00161A32">
      <w:pPr>
        <w:autoSpaceDE w:val="0"/>
        <w:autoSpaceDN w:val="0"/>
        <w:adjustRightInd w:val="0"/>
        <w:rPr>
          <w:rFonts w:asciiTheme="minorHAnsi" w:hAnsiTheme="minorHAnsi" w:cs="Arial"/>
          <w:sz w:val="20"/>
          <w:szCs w:val="20"/>
        </w:rPr>
      </w:pPr>
    </w:p>
    <w:p w:rsidR="00A66300" w:rsidRDefault="00A66300" w:rsidP="00161A32">
      <w:pPr>
        <w:autoSpaceDE w:val="0"/>
        <w:autoSpaceDN w:val="0"/>
        <w:adjustRightInd w:val="0"/>
        <w:rPr>
          <w:rFonts w:asciiTheme="minorHAnsi" w:hAnsiTheme="minorHAnsi" w:cs="Arial"/>
          <w:sz w:val="20"/>
          <w:szCs w:val="20"/>
        </w:rPr>
      </w:pPr>
    </w:p>
    <w:p w:rsidR="00A66300" w:rsidRDefault="00A66300" w:rsidP="00161A32">
      <w:pPr>
        <w:autoSpaceDE w:val="0"/>
        <w:autoSpaceDN w:val="0"/>
        <w:adjustRightInd w:val="0"/>
        <w:rPr>
          <w:rFonts w:asciiTheme="minorHAnsi" w:hAnsiTheme="minorHAnsi" w:cs="Arial"/>
          <w:sz w:val="20"/>
          <w:szCs w:val="20"/>
        </w:rPr>
      </w:pPr>
    </w:p>
    <w:p w:rsidR="00A66300" w:rsidRPr="00B32266" w:rsidRDefault="00A66300" w:rsidP="00161A32">
      <w:pPr>
        <w:autoSpaceDE w:val="0"/>
        <w:autoSpaceDN w:val="0"/>
        <w:adjustRightInd w:val="0"/>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161A32" w:rsidRPr="00B32266" w:rsidTr="00325E41">
        <w:tc>
          <w:tcPr>
            <w:tcW w:w="8522" w:type="dxa"/>
            <w:shd w:val="clear" w:color="auto" w:fill="CCC0D9" w:themeFill="accent4" w:themeFillTint="66"/>
          </w:tcPr>
          <w:p w:rsidR="00161A32" w:rsidRPr="00B32266" w:rsidRDefault="00161A32" w:rsidP="00161A32">
            <w:pPr>
              <w:numPr>
                <w:ilvl w:val="0"/>
                <w:numId w:val="3"/>
              </w:numPr>
              <w:rPr>
                <w:rFonts w:asciiTheme="minorHAnsi" w:hAnsiTheme="minorHAnsi" w:cs="Arial"/>
                <w:b/>
              </w:rPr>
            </w:pPr>
            <w:r w:rsidRPr="00B32266">
              <w:rPr>
                <w:rFonts w:asciiTheme="minorHAnsi" w:hAnsiTheme="minorHAnsi" w:cs="Arial"/>
                <w:b/>
              </w:rPr>
              <w:lastRenderedPageBreak/>
              <w:t>Suggested management approach</w:t>
            </w:r>
          </w:p>
        </w:tc>
      </w:tr>
    </w:tbl>
    <w:p w:rsidR="00161A32" w:rsidRPr="00B32266" w:rsidRDefault="00161A32" w:rsidP="00161A32">
      <w:pPr>
        <w:rPr>
          <w:rFonts w:asciiTheme="minorHAnsi" w:hAnsiTheme="minorHAnsi" w:cs="Arial"/>
          <w:b/>
          <w:sz w:val="20"/>
          <w:szCs w:val="20"/>
        </w:rPr>
      </w:pPr>
    </w:p>
    <w:p w:rsidR="00D90DC3" w:rsidRPr="00D90DC3" w:rsidRDefault="00D90DC3" w:rsidP="00D90DC3">
      <w:pPr>
        <w:numPr>
          <w:ilvl w:val="0"/>
          <w:numId w:val="18"/>
        </w:numPr>
        <w:rPr>
          <w:rFonts w:asciiTheme="minorHAnsi" w:hAnsiTheme="minorHAnsi" w:cs="Arial"/>
          <w:b/>
          <w:i/>
          <w:sz w:val="20"/>
          <w:szCs w:val="20"/>
        </w:rPr>
      </w:pPr>
      <w:r>
        <w:rPr>
          <w:rFonts w:asciiTheme="minorHAnsi" w:hAnsiTheme="minorHAnsi" w:cs="Arial"/>
          <w:b/>
          <w:i/>
          <w:sz w:val="20"/>
          <w:szCs w:val="20"/>
        </w:rPr>
        <w:t>COP 8</w:t>
      </w:r>
      <w:r w:rsidR="00512A9C">
        <w:rPr>
          <w:rFonts w:asciiTheme="minorHAnsi" w:hAnsiTheme="minorHAnsi" w:cs="Arial"/>
          <w:b/>
          <w:i/>
          <w:sz w:val="20"/>
          <w:szCs w:val="20"/>
        </w:rPr>
        <w:t>:</w:t>
      </w:r>
      <w:r w:rsidR="00B353EC">
        <w:rPr>
          <w:rFonts w:asciiTheme="minorHAnsi" w:hAnsiTheme="minorHAnsi" w:cs="Arial"/>
          <w:b/>
          <w:i/>
          <w:sz w:val="20"/>
          <w:szCs w:val="20"/>
        </w:rPr>
        <w:t xml:space="preserve"> </w:t>
      </w:r>
      <w:r w:rsidRPr="00C167ED">
        <w:rPr>
          <w:rFonts w:asciiTheme="minorHAnsi" w:hAnsiTheme="minorHAnsi" w:cs="Arial"/>
          <w:b/>
          <w:i/>
          <w:sz w:val="20"/>
          <w:szCs w:val="20"/>
        </w:rPr>
        <w:t xml:space="preserve">Community </w:t>
      </w:r>
      <w:r>
        <w:rPr>
          <w:rFonts w:asciiTheme="minorHAnsi" w:hAnsiTheme="minorHAnsi" w:cs="Arial"/>
          <w:b/>
          <w:i/>
          <w:sz w:val="20"/>
          <w:szCs w:val="20"/>
        </w:rPr>
        <w:t>Development:</w:t>
      </w:r>
      <w:r>
        <w:rPr>
          <w:rFonts w:asciiTheme="minorHAnsi" w:hAnsiTheme="minorHAnsi" w:cs="Arial"/>
          <w:b/>
          <w:sz w:val="20"/>
          <w:szCs w:val="20"/>
        </w:rPr>
        <w:t xml:space="preserve"> </w:t>
      </w:r>
      <w:r>
        <w:rPr>
          <w:rFonts w:asciiTheme="minorHAnsi" w:hAnsiTheme="minorHAnsi" w:cs="Arial"/>
          <w:bCs/>
          <w:i/>
          <w:iCs/>
          <w:sz w:val="20"/>
          <w:szCs w:val="20"/>
        </w:rPr>
        <w:t>Members</w:t>
      </w:r>
      <w:r w:rsidRPr="00D90DC3">
        <w:rPr>
          <w:rFonts w:ascii="Calibri" w:hAnsi="Calibri"/>
          <w:i/>
          <w:iCs/>
          <w:sz w:val="20"/>
          <w:szCs w:val="20"/>
          <w:lang w:val="en-AU"/>
        </w:rPr>
        <w:t xml:space="preserve"> </w:t>
      </w:r>
      <w:r w:rsidRPr="007F354F">
        <w:rPr>
          <w:rFonts w:ascii="Calibri" w:hAnsi="Calibri"/>
          <w:i/>
          <w:iCs/>
          <w:sz w:val="20"/>
          <w:szCs w:val="20"/>
          <w:lang w:val="en-AU"/>
        </w:rPr>
        <w:t>shall seek to support the development of the communities in which they operate through the support of community initiatives.</w:t>
      </w:r>
      <w:r>
        <w:rPr>
          <w:rFonts w:asciiTheme="minorHAnsi" w:hAnsiTheme="minorHAnsi" w:cs="Arial"/>
          <w:bCs/>
          <w:i/>
          <w:iCs/>
          <w:sz w:val="20"/>
          <w:szCs w:val="20"/>
        </w:rPr>
        <w:t xml:space="preserve"> </w:t>
      </w:r>
      <w:r>
        <w:rPr>
          <w:rFonts w:asciiTheme="minorHAnsi" w:hAnsiTheme="minorHAnsi" w:cs="Arial"/>
          <w:b/>
          <w:sz w:val="20"/>
          <w:szCs w:val="20"/>
        </w:rPr>
        <w:t xml:space="preserve"> </w:t>
      </w:r>
    </w:p>
    <w:p w:rsidR="00D90DC3" w:rsidRPr="000B5A0B" w:rsidRDefault="00D90DC3" w:rsidP="00D90DC3">
      <w:pPr>
        <w:ind w:left="720"/>
        <w:rPr>
          <w:rFonts w:asciiTheme="minorHAnsi" w:hAnsiTheme="minorHAnsi" w:cs="Arial"/>
          <w:b/>
          <w:i/>
          <w:sz w:val="20"/>
          <w:szCs w:val="20"/>
        </w:rPr>
      </w:pPr>
      <w:r w:rsidRPr="00EC17FC">
        <w:rPr>
          <w:rFonts w:asciiTheme="minorHAnsi" w:hAnsiTheme="minorHAnsi" w:cs="Arial"/>
          <w:b/>
          <w:bCs/>
          <w:sz w:val="20"/>
          <w:szCs w:val="20"/>
        </w:rPr>
        <w:t>Points to consider:</w:t>
      </w:r>
    </w:p>
    <w:p w:rsidR="00D90DC3" w:rsidRPr="00711BCC" w:rsidRDefault="00D90DC3" w:rsidP="00711BCC">
      <w:pPr>
        <w:numPr>
          <w:ilvl w:val="2"/>
          <w:numId w:val="20"/>
        </w:numPr>
        <w:rPr>
          <w:rFonts w:asciiTheme="minorHAnsi" w:hAnsiTheme="minorHAnsi" w:cs="Arial"/>
          <w:b/>
          <w:i/>
          <w:sz w:val="20"/>
          <w:szCs w:val="20"/>
        </w:rPr>
      </w:pPr>
      <w:r w:rsidRPr="00A34EB4">
        <w:rPr>
          <w:rFonts w:asciiTheme="minorHAnsi" w:hAnsiTheme="minorHAnsi" w:cs="Arial"/>
          <w:sz w:val="20"/>
          <w:szCs w:val="20"/>
        </w:rPr>
        <w:t xml:space="preserve">Draw on appropriate community development expertise, so that local, regional and/or national contexts are understood and addressed.  </w:t>
      </w:r>
      <w:r w:rsidRPr="00A34EB4">
        <w:rPr>
          <w:rFonts w:asciiTheme="minorHAnsi" w:hAnsiTheme="minorHAnsi" w:cs="Arial"/>
          <w:sz w:val="20"/>
          <w:szCs w:val="20"/>
          <w:lang w:val="en-AU"/>
        </w:rPr>
        <w:t>A strategic approach to community development can work to align company objectives with existing and future community and/or regional development plans.</w:t>
      </w:r>
    </w:p>
    <w:p w:rsidR="00711BCC" w:rsidRPr="00552B8A" w:rsidRDefault="00711BCC" w:rsidP="00711BCC">
      <w:pPr>
        <w:numPr>
          <w:ilvl w:val="2"/>
          <w:numId w:val="20"/>
        </w:numPr>
        <w:rPr>
          <w:rFonts w:asciiTheme="minorHAnsi" w:hAnsiTheme="minorHAnsi" w:cs="Arial"/>
          <w:b/>
          <w:i/>
          <w:sz w:val="20"/>
          <w:szCs w:val="20"/>
        </w:rPr>
      </w:pPr>
      <w:r>
        <w:rPr>
          <w:rFonts w:asciiTheme="minorHAnsi" w:hAnsiTheme="minorHAnsi" w:cs="Arial"/>
          <w:sz w:val="20"/>
          <w:szCs w:val="20"/>
          <w:lang w:val="en-AU"/>
        </w:rPr>
        <w:t>Undertake a stakeholder mapping exercise to identify those parts of the community who are interested in and affected by company activities, with priority on those who are vulnerable or marginalized.</w:t>
      </w:r>
    </w:p>
    <w:p w:rsidR="00711BCC" w:rsidRPr="00552B8A" w:rsidRDefault="00711BCC" w:rsidP="00711BCC">
      <w:pPr>
        <w:numPr>
          <w:ilvl w:val="2"/>
          <w:numId w:val="20"/>
        </w:numPr>
        <w:rPr>
          <w:rFonts w:asciiTheme="minorHAnsi" w:hAnsiTheme="minorHAnsi" w:cs="Arial"/>
          <w:b/>
          <w:i/>
          <w:sz w:val="20"/>
          <w:szCs w:val="20"/>
        </w:rPr>
      </w:pPr>
      <w:r>
        <w:rPr>
          <w:rFonts w:asciiTheme="minorHAnsi" w:hAnsiTheme="minorHAnsi" w:cs="Arial"/>
          <w:sz w:val="20"/>
          <w:szCs w:val="20"/>
          <w:lang w:val="en-AU"/>
        </w:rPr>
        <w:t>Identify existing community development programs and consider partnerships or other forms of support.</w:t>
      </w:r>
    </w:p>
    <w:p w:rsidR="00552B8A" w:rsidRPr="00A34EB4" w:rsidRDefault="00552B8A" w:rsidP="00711BCC">
      <w:pPr>
        <w:numPr>
          <w:ilvl w:val="2"/>
          <w:numId w:val="20"/>
        </w:numPr>
        <w:rPr>
          <w:rFonts w:asciiTheme="minorHAnsi" w:hAnsiTheme="minorHAnsi" w:cs="Arial"/>
          <w:b/>
          <w:i/>
          <w:sz w:val="20"/>
          <w:szCs w:val="20"/>
        </w:rPr>
      </w:pPr>
      <w:r w:rsidRPr="007F354F">
        <w:rPr>
          <w:rFonts w:asciiTheme="minorHAnsi" w:hAnsiTheme="minorHAnsi" w:cs="Arial"/>
          <w:sz w:val="20"/>
          <w:szCs w:val="20"/>
        </w:rPr>
        <w:t xml:space="preserve">Outline the aims of </w:t>
      </w:r>
      <w:r>
        <w:rPr>
          <w:rFonts w:asciiTheme="minorHAnsi" w:hAnsiTheme="minorHAnsi" w:cs="Arial"/>
          <w:sz w:val="20"/>
          <w:szCs w:val="20"/>
        </w:rPr>
        <w:t>your community initiative</w:t>
      </w:r>
      <w:r w:rsidRPr="007F354F">
        <w:rPr>
          <w:rFonts w:asciiTheme="minorHAnsi" w:hAnsiTheme="minorHAnsi" w:cs="Arial"/>
          <w:sz w:val="20"/>
          <w:szCs w:val="20"/>
        </w:rPr>
        <w:t xml:space="preserve">s, the key principles to be followed, and the expectations of staff and other stakeholders.  </w:t>
      </w:r>
    </w:p>
    <w:p w:rsidR="00D90DC3" w:rsidRPr="00A34EB4" w:rsidRDefault="00D90DC3" w:rsidP="00711BCC">
      <w:pPr>
        <w:numPr>
          <w:ilvl w:val="2"/>
          <w:numId w:val="20"/>
        </w:numPr>
        <w:rPr>
          <w:rFonts w:asciiTheme="minorHAnsi" w:hAnsiTheme="minorHAnsi" w:cs="Arial"/>
          <w:sz w:val="20"/>
          <w:szCs w:val="20"/>
        </w:rPr>
      </w:pPr>
      <w:r w:rsidRPr="00A34EB4">
        <w:rPr>
          <w:rFonts w:asciiTheme="minorHAnsi" w:hAnsiTheme="minorHAnsi" w:cs="Arial"/>
          <w:sz w:val="20"/>
          <w:szCs w:val="20"/>
          <w:lang w:val="en-AU"/>
        </w:rPr>
        <w:t xml:space="preserve">Enabling communities to participate in decisions about the allocation of project benefits will enhance the sustainability of community development programs.  Include a diversity of community members, ensuring that women and vulnerable and/or marginalized groups are included. </w:t>
      </w:r>
    </w:p>
    <w:p w:rsidR="00D90DC3" w:rsidRPr="00A34EB4" w:rsidRDefault="00D90DC3" w:rsidP="00711BCC">
      <w:pPr>
        <w:numPr>
          <w:ilvl w:val="2"/>
          <w:numId w:val="20"/>
        </w:numPr>
        <w:rPr>
          <w:rFonts w:asciiTheme="minorHAnsi" w:hAnsiTheme="minorHAnsi" w:cs="Arial"/>
          <w:sz w:val="20"/>
          <w:szCs w:val="20"/>
        </w:rPr>
      </w:pPr>
      <w:r>
        <w:rPr>
          <w:rFonts w:asciiTheme="minorHAnsi" w:hAnsiTheme="minorHAnsi" w:cs="Arial"/>
          <w:sz w:val="20"/>
          <w:szCs w:val="20"/>
          <w:lang w:val="en-AU"/>
        </w:rPr>
        <w:t xml:space="preserve">Working in formal or informal partnerships can reduce duplication, costs, and dependency on the mining operation.  </w:t>
      </w:r>
      <w:r w:rsidRPr="00A34EB4">
        <w:rPr>
          <w:rFonts w:asciiTheme="minorHAnsi" w:hAnsiTheme="minorHAnsi" w:cs="Arial"/>
          <w:sz w:val="20"/>
          <w:szCs w:val="20"/>
          <w:lang w:val="en-AU"/>
        </w:rPr>
        <w:t>Private, governmental,</w:t>
      </w:r>
      <w:r>
        <w:rPr>
          <w:rFonts w:asciiTheme="minorHAnsi" w:hAnsiTheme="minorHAnsi" w:cs="Arial"/>
          <w:sz w:val="20"/>
          <w:szCs w:val="20"/>
          <w:lang w:val="en-AU"/>
        </w:rPr>
        <w:t xml:space="preserve"> </w:t>
      </w:r>
      <w:r w:rsidRPr="00A34EB4">
        <w:rPr>
          <w:rFonts w:asciiTheme="minorHAnsi" w:hAnsiTheme="minorHAnsi" w:cs="Arial"/>
          <w:sz w:val="20"/>
          <w:szCs w:val="20"/>
          <w:lang w:val="en-AU"/>
        </w:rPr>
        <w:t xml:space="preserve">NGO and community organizations </w:t>
      </w:r>
      <w:r>
        <w:rPr>
          <w:rFonts w:asciiTheme="minorHAnsi" w:hAnsiTheme="minorHAnsi" w:cs="Arial"/>
          <w:sz w:val="20"/>
          <w:szCs w:val="20"/>
          <w:lang w:val="en-AU"/>
        </w:rPr>
        <w:t>can bring</w:t>
      </w:r>
      <w:r w:rsidRPr="00A34EB4">
        <w:rPr>
          <w:rFonts w:asciiTheme="minorHAnsi" w:hAnsiTheme="minorHAnsi" w:cs="Arial"/>
          <w:sz w:val="20"/>
          <w:szCs w:val="20"/>
          <w:lang w:val="en-AU"/>
        </w:rPr>
        <w:t xml:space="preserve"> different skills and resources </w:t>
      </w:r>
      <w:r>
        <w:rPr>
          <w:rFonts w:asciiTheme="minorHAnsi" w:hAnsiTheme="minorHAnsi" w:cs="Arial"/>
          <w:sz w:val="20"/>
          <w:szCs w:val="20"/>
          <w:lang w:val="en-AU"/>
        </w:rPr>
        <w:t>to collaborative efforts.</w:t>
      </w:r>
    </w:p>
    <w:p w:rsidR="00D90DC3" w:rsidRPr="00F02E33" w:rsidRDefault="00D90DC3" w:rsidP="00711BCC">
      <w:pPr>
        <w:numPr>
          <w:ilvl w:val="2"/>
          <w:numId w:val="20"/>
        </w:numPr>
        <w:rPr>
          <w:rFonts w:asciiTheme="minorHAnsi" w:hAnsiTheme="minorHAnsi" w:cs="Arial"/>
          <w:sz w:val="20"/>
          <w:szCs w:val="20"/>
        </w:rPr>
      </w:pPr>
      <w:r w:rsidRPr="00A34EB4">
        <w:rPr>
          <w:rFonts w:asciiTheme="minorHAnsi" w:hAnsiTheme="minorHAnsi" w:cs="Arial"/>
          <w:sz w:val="20"/>
          <w:szCs w:val="20"/>
          <w:lang w:val="en-AU"/>
        </w:rPr>
        <w:t>Monit</w:t>
      </w:r>
      <w:r w:rsidR="00552B8A">
        <w:rPr>
          <w:rFonts w:asciiTheme="minorHAnsi" w:hAnsiTheme="minorHAnsi" w:cs="Arial"/>
          <w:sz w:val="20"/>
          <w:szCs w:val="20"/>
          <w:lang w:val="en-AU"/>
        </w:rPr>
        <w:t>or your community development initiative</w:t>
      </w:r>
      <w:r w:rsidRPr="00A34EB4">
        <w:rPr>
          <w:rFonts w:asciiTheme="minorHAnsi" w:hAnsiTheme="minorHAnsi" w:cs="Arial"/>
          <w:sz w:val="20"/>
          <w:szCs w:val="20"/>
          <w:lang w:val="en-AU"/>
        </w:rPr>
        <w:t xml:space="preserve">s and periodically evaluate them against selected indicators. Regular monitoring and evaluation enables the adjustment of programs to enhance success. </w:t>
      </w:r>
    </w:p>
    <w:p w:rsidR="00D90DC3" w:rsidRPr="00A34EB4" w:rsidRDefault="00D90DC3" w:rsidP="00711BCC">
      <w:pPr>
        <w:numPr>
          <w:ilvl w:val="2"/>
          <w:numId w:val="20"/>
        </w:numPr>
        <w:rPr>
          <w:rFonts w:asciiTheme="minorHAnsi" w:hAnsiTheme="minorHAnsi" w:cs="Arial"/>
          <w:sz w:val="20"/>
          <w:szCs w:val="20"/>
        </w:rPr>
      </w:pPr>
      <w:r w:rsidRPr="00A34EB4">
        <w:rPr>
          <w:rFonts w:asciiTheme="minorHAnsi" w:hAnsiTheme="minorHAnsi" w:cs="Arial"/>
          <w:sz w:val="20"/>
          <w:szCs w:val="20"/>
          <w:lang w:val="en-AU"/>
        </w:rPr>
        <w:t>Including community members in participatory monitoring processes</w:t>
      </w:r>
      <w:r>
        <w:rPr>
          <w:rFonts w:asciiTheme="minorHAnsi" w:hAnsiTheme="minorHAnsi" w:cs="Arial"/>
          <w:sz w:val="20"/>
          <w:szCs w:val="20"/>
          <w:lang w:val="en-AU"/>
        </w:rPr>
        <w:t xml:space="preserve"> is a useful way to enhance feedback</w:t>
      </w:r>
      <w:r w:rsidRPr="00A34EB4">
        <w:rPr>
          <w:rFonts w:asciiTheme="minorHAnsi" w:hAnsiTheme="minorHAnsi" w:cs="Arial"/>
          <w:sz w:val="20"/>
          <w:szCs w:val="20"/>
          <w:lang w:val="en-AU"/>
        </w:rPr>
        <w:t xml:space="preserve"> and facilitates the communication of progress to the wider community. Additional communication of progress and challenges, through internal and external reporting of results, </w:t>
      </w:r>
      <w:r>
        <w:rPr>
          <w:rFonts w:asciiTheme="minorHAnsi" w:hAnsiTheme="minorHAnsi" w:cs="Arial"/>
          <w:sz w:val="20"/>
          <w:szCs w:val="20"/>
          <w:lang w:val="en-AU"/>
        </w:rPr>
        <w:t>can encourage</w:t>
      </w:r>
      <w:r w:rsidRPr="00A34EB4">
        <w:rPr>
          <w:rFonts w:asciiTheme="minorHAnsi" w:hAnsiTheme="minorHAnsi" w:cs="Arial"/>
          <w:sz w:val="20"/>
          <w:szCs w:val="20"/>
          <w:lang w:val="en-AU"/>
        </w:rPr>
        <w:t xml:space="preserve"> a broader support base for programs.</w:t>
      </w:r>
    </w:p>
    <w:p w:rsidR="00D90DC3" w:rsidRPr="00502940" w:rsidRDefault="00D90DC3" w:rsidP="00B353EC">
      <w:pPr>
        <w:pStyle w:val="ListParagraph"/>
        <w:ind w:left="357"/>
        <w:contextualSpacing/>
        <w:rPr>
          <w:rFonts w:ascii="Calibri" w:hAnsi="Calibri"/>
          <w:sz w:val="20"/>
          <w:szCs w:val="20"/>
          <w:lang w:val="en-AU"/>
        </w:rPr>
      </w:pPr>
    </w:p>
    <w:p w:rsidR="007F354F" w:rsidRDefault="00D1402D" w:rsidP="007F354F">
      <w:pPr>
        <w:contextualSpacing/>
        <w:rPr>
          <w:rFonts w:ascii="Calibri" w:hAnsi="Calibri"/>
          <w:iCs/>
          <w:sz w:val="20"/>
          <w:szCs w:val="20"/>
          <w:lang w:val="en-AU"/>
        </w:rPr>
      </w:pPr>
      <w:r>
        <w:rPr>
          <w:rFonts w:ascii="Calibri" w:hAnsi="Calibri"/>
          <w:iCs/>
          <w:noProof/>
          <w:sz w:val="20"/>
          <w:szCs w:val="20"/>
          <w:lang w:bidi="gu-IN"/>
        </w:rPr>
        <w:pict>
          <v:shapetype id="_x0000_t202" coordsize="21600,21600" o:spt="202" path="m,l,21600r21600,l21600,xe">
            <v:stroke joinstyle="miter"/>
            <v:path gradientshapeok="t" o:connecttype="rect"/>
          </v:shapetype>
          <v:shape id="_x0000_s1026" type="#_x0000_t202" style="position:absolute;margin-left:-5.75pt;margin-top:3.5pt;width:423.9pt;height:40.9pt;z-index:-251658752;mso-height-percent:200;mso-height-percent:200;mso-width-relative:margin;mso-height-relative:margin" wrapcoords="-98 -72 -98 21528 21698 21528 21698 -72 -98 -72" fillcolor="#fde9d9 [665]">
            <v:textbox style="mso-next-textbox:#_x0000_s1026;mso-fit-shape-to-text:t">
              <w:txbxContent>
                <w:p w:rsidR="007F354F" w:rsidRPr="007F354F" w:rsidRDefault="007F354F" w:rsidP="007F354F">
                  <w:pPr>
                    <w:shd w:val="clear" w:color="auto" w:fill="FDE9D9" w:themeFill="accent6" w:themeFillTint="33"/>
                    <w:rPr>
                      <w:rFonts w:asciiTheme="minorHAnsi" w:hAnsiTheme="minorHAnsi" w:cs="Arial"/>
                      <w:b/>
                      <w:sz w:val="18"/>
                      <w:szCs w:val="20"/>
                      <w:lang w:val="en-US"/>
                    </w:rPr>
                  </w:pPr>
                  <w:r w:rsidRPr="007F354F">
                    <w:rPr>
                      <w:rFonts w:asciiTheme="minorHAnsi" w:hAnsiTheme="minorHAnsi" w:cs="Arial"/>
                      <w:b/>
                      <w:sz w:val="18"/>
                      <w:szCs w:val="20"/>
                      <w:lang w:val="en-US"/>
                    </w:rPr>
                    <w:t>Check:</w:t>
                  </w:r>
                </w:p>
                <w:p w:rsidR="00552B8A" w:rsidRPr="00552B8A" w:rsidRDefault="00552B8A" w:rsidP="00552B8A">
                  <w:pPr>
                    <w:pStyle w:val="ListParagraph"/>
                    <w:numPr>
                      <w:ilvl w:val="0"/>
                      <w:numId w:val="15"/>
                    </w:numPr>
                    <w:shd w:val="clear" w:color="auto" w:fill="FDE9D9" w:themeFill="accent6" w:themeFillTint="33"/>
                    <w:contextualSpacing/>
                    <w:rPr>
                      <w:rFonts w:asciiTheme="minorHAnsi" w:hAnsiTheme="minorHAnsi" w:cs="Arial"/>
                      <w:sz w:val="18"/>
                      <w:szCs w:val="18"/>
                      <w:lang w:val="en-US"/>
                    </w:rPr>
                  </w:pPr>
                  <w:r>
                    <w:rPr>
                      <w:rFonts w:asciiTheme="minorHAnsi" w:hAnsiTheme="minorHAnsi" w:cs="Arial"/>
                      <w:bCs/>
                      <w:iCs/>
                      <w:sz w:val="18"/>
                      <w:szCs w:val="18"/>
                    </w:rPr>
                    <w:t>Have you identified priority stakeholders in the affected community?</w:t>
                  </w:r>
                </w:p>
                <w:p w:rsidR="00552B8A" w:rsidRPr="00552B8A" w:rsidRDefault="00552B8A" w:rsidP="00552B8A">
                  <w:pPr>
                    <w:pStyle w:val="ListParagraph"/>
                    <w:numPr>
                      <w:ilvl w:val="0"/>
                      <w:numId w:val="15"/>
                    </w:numPr>
                    <w:shd w:val="clear" w:color="auto" w:fill="FDE9D9" w:themeFill="accent6" w:themeFillTint="33"/>
                    <w:contextualSpacing/>
                    <w:rPr>
                      <w:rFonts w:asciiTheme="minorHAnsi" w:hAnsiTheme="minorHAnsi" w:cs="Arial"/>
                      <w:sz w:val="18"/>
                      <w:szCs w:val="18"/>
                      <w:lang w:val="en-US"/>
                    </w:rPr>
                  </w:pPr>
                  <w:r>
                    <w:rPr>
                      <w:rFonts w:asciiTheme="minorHAnsi" w:hAnsiTheme="minorHAnsi" w:cs="Arial"/>
                      <w:sz w:val="18"/>
                      <w:szCs w:val="18"/>
                      <w:lang w:val="en-US"/>
                    </w:rPr>
                    <w:t>Are community members involved in the delivery of your community initiatives?</w:t>
                  </w:r>
                </w:p>
                <w:p w:rsidR="00D90DC3" w:rsidRPr="00B44A64" w:rsidRDefault="00D90DC3" w:rsidP="00D90DC3">
                  <w:pPr>
                    <w:pStyle w:val="ListParagraph"/>
                    <w:numPr>
                      <w:ilvl w:val="0"/>
                      <w:numId w:val="15"/>
                    </w:numPr>
                    <w:shd w:val="clear" w:color="auto" w:fill="FDE9D9" w:themeFill="accent6" w:themeFillTint="33"/>
                    <w:contextualSpacing/>
                    <w:rPr>
                      <w:rFonts w:asciiTheme="minorHAnsi" w:hAnsiTheme="minorHAnsi" w:cs="Arial"/>
                      <w:sz w:val="18"/>
                      <w:szCs w:val="18"/>
                      <w:lang w:val="en-US"/>
                    </w:rPr>
                  </w:pPr>
                  <w:r w:rsidRPr="00B44A64">
                    <w:rPr>
                      <w:rFonts w:asciiTheme="minorHAnsi" w:hAnsiTheme="minorHAnsi" w:cs="Arial"/>
                      <w:bCs/>
                      <w:iCs/>
                      <w:sz w:val="18"/>
                      <w:szCs w:val="18"/>
                    </w:rPr>
                    <w:t>What initiatives have you undertaken to support the development of affected communities?</w:t>
                  </w:r>
                </w:p>
                <w:p w:rsidR="007F354F" w:rsidRDefault="00552B8A" w:rsidP="007F354F">
                  <w:pPr>
                    <w:pStyle w:val="ListParagraph"/>
                    <w:numPr>
                      <w:ilvl w:val="0"/>
                      <w:numId w:val="15"/>
                    </w:numPr>
                    <w:shd w:val="clear" w:color="auto" w:fill="FDE9D9" w:themeFill="accent6" w:themeFillTint="33"/>
                    <w:contextualSpacing/>
                    <w:rPr>
                      <w:rFonts w:asciiTheme="minorHAnsi" w:hAnsiTheme="minorHAnsi" w:cs="Arial"/>
                      <w:sz w:val="18"/>
                      <w:szCs w:val="20"/>
                      <w:lang w:val="en-US"/>
                    </w:rPr>
                  </w:pPr>
                  <w:r>
                    <w:rPr>
                      <w:rFonts w:asciiTheme="minorHAnsi" w:hAnsiTheme="minorHAnsi" w:cs="Arial"/>
                      <w:sz w:val="18"/>
                      <w:szCs w:val="20"/>
                      <w:lang w:val="en-US"/>
                    </w:rPr>
                    <w:t>How will they have a beneficial impact</w:t>
                  </w:r>
                  <w:r w:rsidR="0094547F">
                    <w:rPr>
                      <w:rFonts w:asciiTheme="minorHAnsi" w:hAnsiTheme="minorHAnsi" w:cs="Arial"/>
                      <w:sz w:val="18"/>
                      <w:szCs w:val="20"/>
                      <w:lang w:val="en-US"/>
                    </w:rPr>
                    <w:t xml:space="preserve"> and how will this be evaluated?</w:t>
                  </w:r>
                </w:p>
                <w:p w:rsidR="00D55724" w:rsidRDefault="00D55724">
                  <w:pPr>
                    <w:pStyle w:val="ListParagraph"/>
                    <w:shd w:val="clear" w:color="auto" w:fill="FDE9D9" w:themeFill="accent6" w:themeFillTint="33"/>
                    <w:contextualSpacing/>
                    <w:rPr>
                      <w:rFonts w:asciiTheme="minorHAnsi" w:hAnsiTheme="minorHAnsi" w:cs="Arial"/>
                      <w:sz w:val="18"/>
                      <w:szCs w:val="20"/>
                      <w:lang w:val="en-US"/>
                    </w:rPr>
                  </w:pPr>
                </w:p>
              </w:txbxContent>
            </v:textbox>
            <w10:wrap type="tight"/>
          </v:shape>
        </w:pict>
      </w:r>
    </w:p>
    <w:p w:rsidR="007F354F" w:rsidRDefault="007F354F" w:rsidP="007F354F">
      <w:pPr>
        <w:contextualSpacing/>
        <w:rPr>
          <w:rFonts w:ascii="Calibri" w:hAnsi="Calibri"/>
          <w:iCs/>
          <w:sz w:val="20"/>
          <w:szCs w:val="20"/>
          <w:lang w:val="en-AU"/>
        </w:rPr>
      </w:pPr>
    </w:p>
    <w:p w:rsidR="00D90DC3" w:rsidRDefault="00D90DC3" w:rsidP="007F354F">
      <w:pPr>
        <w:contextualSpacing/>
        <w:rPr>
          <w:rFonts w:ascii="Calibri" w:hAnsi="Calibri"/>
          <w:iCs/>
          <w:sz w:val="20"/>
          <w:szCs w:val="20"/>
          <w:lang w:val="en-AU"/>
        </w:rPr>
      </w:pPr>
    </w:p>
    <w:p w:rsidR="00D90DC3" w:rsidRDefault="00D90DC3" w:rsidP="007F354F">
      <w:pPr>
        <w:contextualSpacing/>
        <w:rPr>
          <w:rFonts w:ascii="Calibri" w:hAnsi="Calibri"/>
          <w:iCs/>
          <w:sz w:val="20"/>
          <w:szCs w:val="20"/>
          <w:lang w:val="en-AU"/>
        </w:rPr>
      </w:pPr>
    </w:p>
    <w:p w:rsidR="00D90DC3" w:rsidRDefault="00D90DC3" w:rsidP="007F354F">
      <w:pPr>
        <w:contextualSpacing/>
        <w:rPr>
          <w:rFonts w:ascii="Calibri" w:hAnsi="Calibri"/>
          <w:iCs/>
          <w:sz w:val="20"/>
          <w:szCs w:val="20"/>
          <w:lang w:val="en-AU"/>
        </w:rPr>
      </w:pPr>
    </w:p>
    <w:p w:rsidR="00D90DC3" w:rsidRDefault="00D90DC3" w:rsidP="007F354F">
      <w:pPr>
        <w:contextualSpacing/>
        <w:rPr>
          <w:rFonts w:ascii="Calibri" w:hAnsi="Calibri"/>
          <w:iCs/>
          <w:sz w:val="20"/>
          <w:szCs w:val="20"/>
          <w:lang w:val="en-AU"/>
        </w:rPr>
      </w:pPr>
    </w:p>
    <w:p w:rsidR="00D90DC3" w:rsidRDefault="00D90DC3" w:rsidP="007F354F">
      <w:pPr>
        <w:contextualSpacing/>
        <w:rPr>
          <w:rFonts w:ascii="Calibri" w:hAnsi="Calibri"/>
          <w:iCs/>
          <w:sz w:val="20"/>
          <w:szCs w:val="20"/>
          <w:lang w:val="en-AU"/>
        </w:rPr>
      </w:pPr>
    </w:p>
    <w:p w:rsidR="00D90DC3" w:rsidRPr="007F354F" w:rsidRDefault="00D90DC3" w:rsidP="007F354F">
      <w:pPr>
        <w:contextualSpacing/>
        <w:rPr>
          <w:rFonts w:ascii="Calibri" w:hAnsi="Calibri"/>
          <w:iCs/>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tblPr>
      <w:tblGrid>
        <w:gridCol w:w="8522"/>
      </w:tblGrid>
      <w:tr w:rsidR="00161A32" w:rsidRPr="00B32266" w:rsidTr="00325E41">
        <w:tc>
          <w:tcPr>
            <w:tcW w:w="8522" w:type="dxa"/>
            <w:shd w:val="clear" w:color="auto" w:fill="CCC0D9" w:themeFill="accent4" w:themeFillTint="66"/>
          </w:tcPr>
          <w:p w:rsidR="00161A32" w:rsidRPr="00B32266" w:rsidRDefault="00161A32" w:rsidP="00161A32">
            <w:pPr>
              <w:numPr>
                <w:ilvl w:val="0"/>
                <w:numId w:val="3"/>
              </w:numPr>
              <w:rPr>
                <w:rFonts w:asciiTheme="minorHAnsi" w:hAnsiTheme="minorHAnsi" w:cs="Arial"/>
                <w:b/>
              </w:rPr>
            </w:pPr>
            <w:r w:rsidRPr="00B32266">
              <w:rPr>
                <w:rFonts w:asciiTheme="minorHAnsi" w:hAnsiTheme="minorHAnsi" w:cs="Arial"/>
                <w:b/>
              </w:rPr>
              <w:t>Further information</w:t>
            </w:r>
          </w:p>
        </w:tc>
      </w:tr>
    </w:tbl>
    <w:p w:rsidR="00161A32" w:rsidRPr="00B32266" w:rsidRDefault="00161A32" w:rsidP="00161A32">
      <w:pPr>
        <w:rPr>
          <w:rFonts w:asciiTheme="minorHAnsi" w:hAnsiTheme="minorHAnsi" w:cs="Arial"/>
          <w:b/>
          <w:sz w:val="20"/>
          <w:szCs w:val="20"/>
        </w:rPr>
      </w:pPr>
    </w:p>
    <w:p w:rsidR="00161A32" w:rsidRPr="00B32266" w:rsidRDefault="00161A32" w:rsidP="00161A32">
      <w:pPr>
        <w:pStyle w:val="BodySingle"/>
        <w:spacing w:line="240" w:lineRule="auto"/>
        <w:rPr>
          <w:rFonts w:asciiTheme="minorHAnsi" w:hAnsiTheme="minorHAnsi" w:cs="Arial"/>
          <w:lang w:val="en-US"/>
        </w:rPr>
      </w:pPr>
      <w:r w:rsidRPr="00B32266">
        <w:rPr>
          <w:rFonts w:asciiTheme="minorHAnsi" w:hAnsiTheme="minorHAnsi" w:cs="Arial"/>
          <w:lang w:val="en-US"/>
        </w:rPr>
        <w:t>The following websites have further information on community development issues:</w:t>
      </w:r>
    </w:p>
    <w:p w:rsidR="00161A32" w:rsidRPr="00B32266" w:rsidRDefault="00161A32" w:rsidP="00161A32">
      <w:pPr>
        <w:pStyle w:val="BodySingle"/>
        <w:spacing w:line="240" w:lineRule="auto"/>
        <w:rPr>
          <w:rFonts w:asciiTheme="minorHAnsi" w:hAnsiTheme="minorHAnsi" w:cs="Arial"/>
          <w:lang w:val="en-US"/>
        </w:rPr>
      </w:pPr>
    </w:p>
    <w:p w:rsidR="004B3FBA" w:rsidRDefault="004B3FBA" w:rsidP="004B3FBA">
      <w:pPr>
        <w:pStyle w:val="ListParagraph"/>
        <w:numPr>
          <w:ilvl w:val="0"/>
          <w:numId w:val="17"/>
        </w:numPr>
        <w:rPr>
          <w:rFonts w:asciiTheme="minorHAnsi" w:hAnsiTheme="minorHAnsi" w:cs="Arial"/>
          <w:sz w:val="20"/>
          <w:szCs w:val="20"/>
        </w:rPr>
      </w:pPr>
      <w:r>
        <w:rPr>
          <w:rFonts w:asciiTheme="minorHAnsi" w:hAnsiTheme="minorHAnsi" w:cs="Arial"/>
          <w:sz w:val="20"/>
          <w:szCs w:val="20"/>
        </w:rPr>
        <w:t xml:space="preserve">Anglo American – Community Engagement </w:t>
      </w:r>
    </w:p>
    <w:p w:rsidR="004B3FBA" w:rsidRDefault="00D1402D" w:rsidP="004B3FBA">
      <w:pPr>
        <w:pStyle w:val="ListParagraph"/>
        <w:rPr>
          <w:rFonts w:asciiTheme="minorHAnsi" w:hAnsiTheme="minorHAnsi" w:cs="Arial"/>
          <w:sz w:val="20"/>
          <w:szCs w:val="20"/>
        </w:rPr>
      </w:pPr>
      <w:hyperlink r:id="rId7" w:history="1">
        <w:r w:rsidR="004B3FBA" w:rsidRPr="004D1F85">
          <w:rPr>
            <w:rStyle w:val="Hyperlink"/>
            <w:rFonts w:asciiTheme="minorHAnsi" w:hAnsiTheme="minorHAnsi" w:cs="Arial"/>
            <w:sz w:val="20"/>
            <w:szCs w:val="20"/>
          </w:rPr>
          <w:t>www.angloamerican.com/development/social/community-engagement/engagement</w:t>
        </w:r>
      </w:hyperlink>
    </w:p>
    <w:p w:rsidR="00883CA7" w:rsidRPr="00B32266" w:rsidRDefault="00883CA7" w:rsidP="00883CA7">
      <w:pPr>
        <w:numPr>
          <w:ilvl w:val="0"/>
          <w:numId w:val="1"/>
        </w:numPr>
        <w:rPr>
          <w:rFonts w:asciiTheme="minorHAnsi" w:hAnsiTheme="minorHAnsi" w:cs="Arial"/>
          <w:sz w:val="20"/>
          <w:szCs w:val="20"/>
        </w:rPr>
      </w:pPr>
      <w:r w:rsidRPr="00B32266">
        <w:rPr>
          <w:rFonts w:asciiTheme="minorHAnsi" w:hAnsiTheme="minorHAnsi" w:cs="Arial"/>
          <w:sz w:val="20"/>
          <w:szCs w:val="20"/>
        </w:rPr>
        <w:t>Business for S</w:t>
      </w:r>
      <w:r>
        <w:rPr>
          <w:rFonts w:asciiTheme="minorHAnsi" w:hAnsiTheme="minorHAnsi" w:cs="Arial"/>
          <w:sz w:val="20"/>
          <w:szCs w:val="20"/>
        </w:rPr>
        <w:t>ocial Responsibility</w:t>
      </w:r>
      <w:r w:rsidRPr="00B32266">
        <w:rPr>
          <w:rFonts w:asciiTheme="minorHAnsi" w:hAnsiTheme="minorHAnsi" w:cs="Arial"/>
          <w:sz w:val="20"/>
          <w:szCs w:val="20"/>
        </w:rPr>
        <w:t xml:space="preserve"> – </w:t>
      </w:r>
      <w:r w:rsidRPr="00883CA7">
        <w:rPr>
          <w:rFonts w:asciiTheme="minorHAnsi" w:hAnsiTheme="minorHAnsi" w:cs="Arial"/>
          <w:sz w:val="20"/>
          <w:szCs w:val="20"/>
        </w:rPr>
        <w:t>BSR Insight Articles About Community Engagement &amp; Development</w:t>
      </w:r>
    </w:p>
    <w:p w:rsidR="00883CA7" w:rsidRDefault="00D1402D" w:rsidP="00883CA7">
      <w:pPr>
        <w:ind w:left="720"/>
        <w:rPr>
          <w:rFonts w:asciiTheme="minorHAnsi" w:hAnsiTheme="minorHAnsi" w:cs="Arial"/>
          <w:sz w:val="20"/>
          <w:szCs w:val="20"/>
        </w:rPr>
      </w:pPr>
      <w:hyperlink r:id="rId8" w:history="1">
        <w:r w:rsidR="00883CA7" w:rsidRPr="00477379">
          <w:rPr>
            <w:rStyle w:val="Hyperlink"/>
            <w:rFonts w:asciiTheme="minorHAnsi" w:hAnsiTheme="minorHAnsi" w:cs="Arial"/>
            <w:sz w:val="20"/>
            <w:szCs w:val="20"/>
          </w:rPr>
          <w:t>www.bsr.org/en/topic/channel/bsr-insight/community-engagement-development</w:t>
        </w:r>
      </w:hyperlink>
    </w:p>
    <w:p w:rsidR="004B3FBA" w:rsidRDefault="004B3FBA" w:rsidP="004B3FBA">
      <w:pPr>
        <w:pStyle w:val="ListParagraph"/>
        <w:numPr>
          <w:ilvl w:val="0"/>
          <w:numId w:val="17"/>
        </w:numPr>
        <w:tabs>
          <w:tab w:val="left" w:pos="4777"/>
        </w:tabs>
        <w:rPr>
          <w:rFonts w:asciiTheme="minorHAnsi" w:hAnsiTheme="minorHAnsi" w:cs="Arial"/>
          <w:sz w:val="20"/>
          <w:szCs w:val="20"/>
        </w:rPr>
      </w:pPr>
      <w:r w:rsidRPr="00AD039B">
        <w:rPr>
          <w:rFonts w:asciiTheme="minorHAnsi" w:hAnsiTheme="minorHAnsi" w:cs="Arial"/>
          <w:sz w:val="20"/>
          <w:szCs w:val="20"/>
        </w:rPr>
        <w:t xml:space="preserve">Centre for Social Responsibility in Mining (CSRM)  </w:t>
      </w:r>
      <w:r>
        <w:rPr>
          <w:rFonts w:asciiTheme="minorHAnsi" w:hAnsiTheme="minorHAnsi" w:cs="Arial"/>
          <w:sz w:val="20"/>
          <w:szCs w:val="20"/>
        </w:rPr>
        <w:t xml:space="preserve">- Community Engagement and Development </w:t>
      </w:r>
    </w:p>
    <w:p w:rsidR="004B3FBA" w:rsidRDefault="00D1402D" w:rsidP="004B3FBA">
      <w:pPr>
        <w:pStyle w:val="ListParagraph"/>
        <w:tabs>
          <w:tab w:val="left" w:pos="4777"/>
        </w:tabs>
        <w:rPr>
          <w:rFonts w:asciiTheme="minorHAnsi" w:hAnsiTheme="minorHAnsi" w:cs="Arial"/>
          <w:sz w:val="20"/>
          <w:szCs w:val="20"/>
        </w:rPr>
      </w:pPr>
      <w:hyperlink r:id="rId9" w:history="1">
        <w:r w:rsidR="004B3FBA" w:rsidRPr="00880AE1">
          <w:rPr>
            <w:rStyle w:val="Hyperlink"/>
            <w:rFonts w:asciiTheme="minorHAnsi" w:hAnsiTheme="minorHAnsi" w:cs="Arial"/>
            <w:sz w:val="20"/>
            <w:szCs w:val="20"/>
          </w:rPr>
          <w:t>http://www.csrm.uq.edu.au/Research/CommunityEngagementandDevelopment.aspx</w:t>
        </w:r>
      </w:hyperlink>
    </w:p>
    <w:p w:rsidR="00883CA7" w:rsidRPr="009D7A52" w:rsidRDefault="00883CA7" w:rsidP="00883CA7">
      <w:pPr>
        <w:numPr>
          <w:ilvl w:val="0"/>
          <w:numId w:val="1"/>
        </w:numPr>
        <w:rPr>
          <w:rFonts w:asciiTheme="minorHAnsi" w:hAnsiTheme="minorHAnsi" w:cs="Arial"/>
          <w:sz w:val="20"/>
          <w:szCs w:val="20"/>
        </w:rPr>
      </w:pPr>
      <w:r w:rsidRPr="009D7A52">
        <w:rPr>
          <w:rFonts w:asciiTheme="minorHAnsi" w:hAnsiTheme="minorHAnsi" w:cs="Arial"/>
          <w:sz w:val="20"/>
          <w:szCs w:val="20"/>
        </w:rPr>
        <w:t>I</w:t>
      </w:r>
      <w:r>
        <w:rPr>
          <w:rFonts w:asciiTheme="minorHAnsi" w:hAnsiTheme="minorHAnsi" w:cs="Arial"/>
          <w:sz w:val="20"/>
          <w:szCs w:val="20"/>
        </w:rPr>
        <w:t>nternational Council on Mining and Metals (I</w:t>
      </w:r>
      <w:r w:rsidRPr="009D7A52">
        <w:rPr>
          <w:rFonts w:asciiTheme="minorHAnsi" w:hAnsiTheme="minorHAnsi" w:cs="Arial"/>
          <w:sz w:val="20"/>
          <w:szCs w:val="20"/>
        </w:rPr>
        <w:t>CMM</w:t>
      </w:r>
      <w:r>
        <w:rPr>
          <w:rFonts w:asciiTheme="minorHAnsi" w:hAnsiTheme="minorHAnsi" w:cs="Arial"/>
          <w:sz w:val="20"/>
          <w:szCs w:val="20"/>
        </w:rPr>
        <w:t>)</w:t>
      </w:r>
      <w:r w:rsidRPr="009D7A52">
        <w:rPr>
          <w:rFonts w:asciiTheme="minorHAnsi" w:hAnsiTheme="minorHAnsi" w:cs="Arial"/>
          <w:sz w:val="20"/>
          <w:szCs w:val="20"/>
        </w:rPr>
        <w:t xml:space="preserve"> </w:t>
      </w:r>
      <w:r>
        <w:rPr>
          <w:rFonts w:asciiTheme="minorHAnsi" w:hAnsiTheme="minorHAnsi" w:cs="Arial"/>
          <w:sz w:val="20"/>
          <w:szCs w:val="20"/>
        </w:rPr>
        <w:t xml:space="preserve">- </w:t>
      </w:r>
      <w:r w:rsidRPr="009D7A52">
        <w:rPr>
          <w:rFonts w:asciiTheme="minorHAnsi" w:hAnsiTheme="minorHAnsi" w:cs="Arial"/>
          <w:sz w:val="20"/>
          <w:szCs w:val="20"/>
        </w:rPr>
        <w:t>Community Development Toolkit</w:t>
      </w:r>
      <w:r>
        <w:rPr>
          <w:rFonts w:asciiTheme="minorHAnsi" w:hAnsiTheme="minorHAnsi" w:cs="Arial"/>
          <w:sz w:val="20"/>
          <w:szCs w:val="20"/>
        </w:rPr>
        <w:t xml:space="preserve"> (2012)</w:t>
      </w:r>
    </w:p>
    <w:p w:rsidR="00883CA7" w:rsidRDefault="00D1402D" w:rsidP="00883CA7">
      <w:pPr>
        <w:ind w:left="720"/>
      </w:pPr>
      <w:hyperlink r:id="rId10" w:history="1">
        <w:r w:rsidR="00883CA7" w:rsidRPr="00A826B9">
          <w:rPr>
            <w:rStyle w:val="Hyperlink"/>
            <w:rFonts w:asciiTheme="minorHAnsi" w:hAnsiTheme="minorHAnsi"/>
            <w:sz w:val="20"/>
            <w:szCs w:val="20"/>
          </w:rPr>
          <w:t>www.icmm.com/news-and-events/news/articles/icmm-presents-updated-community-development-toolkit</w:t>
        </w:r>
      </w:hyperlink>
    </w:p>
    <w:p w:rsidR="00883CA7" w:rsidRPr="009D7A52" w:rsidRDefault="00883CA7" w:rsidP="00883CA7">
      <w:pPr>
        <w:numPr>
          <w:ilvl w:val="0"/>
          <w:numId w:val="1"/>
        </w:numPr>
        <w:rPr>
          <w:rFonts w:asciiTheme="minorHAnsi" w:hAnsiTheme="minorHAnsi" w:cs="Arial"/>
          <w:sz w:val="20"/>
          <w:szCs w:val="20"/>
        </w:rPr>
      </w:pPr>
      <w:r w:rsidRPr="009D7A52">
        <w:rPr>
          <w:rFonts w:asciiTheme="minorHAnsi" w:hAnsiTheme="minorHAnsi" w:cs="Arial"/>
          <w:sz w:val="20"/>
          <w:szCs w:val="20"/>
        </w:rPr>
        <w:lastRenderedPageBreak/>
        <w:t>Leading Practice Sustainable Development Program for the Mining Industry (Australia)</w:t>
      </w:r>
      <w:r>
        <w:rPr>
          <w:rFonts w:asciiTheme="minorHAnsi" w:hAnsiTheme="minorHAnsi" w:cs="Arial"/>
          <w:sz w:val="20"/>
          <w:szCs w:val="20"/>
        </w:rPr>
        <w:t xml:space="preserve"> - </w:t>
      </w:r>
      <w:r w:rsidRPr="009D7A52">
        <w:rPr>
          <w:rFonts w:asciiTheme="minorHAnsi" w:hAnsiTheme="minorHAnsi" w:cs="Arial"/>
          <w:sz w:val="20"/>
          <w:szCs w:val="20"/>
        </w:rPr>
        <w:t>Commun</w:t>
      </w:r>
      <w:r>
        <w:rPr>
          <w:rFonts w:asciiTheme="minorHAnsi" w:hAnsiTheme="minorHAnsi" w:cs="Arial"/>
          <w:sz w:val="20"/>
          <w:szCs w:val="20"/>
        </w:rPr>
        <w:t>ity Engagement and Development (2006)</w:t>
      </w:r>
    </w:p>
    <w:p w:rsidR="00883CA7" w:rsidRDefault="00D1402D" w:rsidP="00883CA7">
      <w:pPr>
        <w:ind w:left="720"/>
        <w:rPr>
          <w:rFonts w:asciiTheme="minorHAnsi" w:hAnsiTheme="minorHAnsi" w:cs="Arial"/>
          <w:sz w:val="20"/>
          <w:szCs w:val="20"/>
        </w:rPr>
      </w:pPr>
      <w:hyperlink r:id="rId11" w:history="1">
        <w:r w:rsidR="00883CA7" w:rsidRPr="004C46BA">
          <w:rPr>
            <w:rStyle w:val="Hyperlink"/>
            <w:rFonts w:asciiTheme="minorHAnsi" w:hAnsiTheme="minorHAnsi" w:cs="Arial"/>
            <w:sz w:val="20"/>
            <w:szCs w:val="20"/>
          </w:rPr>
          <w:t>www.minerals.org.au/file_upload/files/resources/enduring_value/CED.pdf</w:t>
        </w:r>
      </w:hyperlink>
      <w:r w:rsidR="00883CA7">
        <w:rPr>
          <w:rFonts w:asciiTheme="minorHAnsi" w:hAnsiTheme="minorHAnsi" w:cs="Arial"/>
          <w:sz w:val="20"/>
          <w:szCs w:val="20"/>
        </w:rPr>
        <w:t xml:space="preserve"> </w:t>
      </w:r>
    </w:p>
    <w:p w:rsidR="00161A32" w:rsidRPr="00B32266" w:rsidRDefault="00161A32" w:rsidP="00161A32">
      <w:pPr>
        <w:numPr>
          <w:ilvl w:val="0"/>
          <w:numId w:val="1"/>
        </w:numPr>
        <w:rPr>
          <w:rFonts w:asciiTheme="minorHAnsi" w:hAnsiTheme="minorHAnsi" w:cs="Arial"/>
          <w:sz w:val="20"/>
          <w:szCs w:val="20"/>
        </w:rPr>
      </w:pPr>
      <w:r w:rsidRPr="00B32266">
        <w:rPr>
          <w:rFonts w:asciiTheme="minorHAnsi" w:hAnsiTheme="minorHAnsi" w:cs="Arial"/>
          <w:sz w:val="20"/>
          <w:szCs w:val="20"/>
        </w:rPr>
        <w:t>Millennium Development Goals</w:t>
      </w:r>
    </w:p>
    <w:p w:rsidR="00161A32" w:rsidRPr="00B32266" w:rsidRDefault="00D1402D" w:rsidP="00161A32">
      <w:pPr>
        <w:ind w:left="720"/>
        <w:rPr>
          <w:rFonts w:asciiTheme="minorHAnsi" w:hAnsiTheme="minorHAnsi" w:cs="Arial"/>
          <w:sz w:val="20"/>
          <w:szCs w:val="20"/>
        </w:rPr>
      </w:pPr>
      <w:hyperlink r:id="rId12" w:history="1">
        <w:r w:rsidR="00883CA7" w:rsidRPr="00477379">
          <w:rPr>
            <w:rStyle w:val="Hyperlink"/>
            <w:rFonts w:asciiTheme="minorHAnsi" w:hAnsiTheme="minorHAnsi" w:cs="Arial"/>
            <w:sz w:val="20"/>
            <w:szCs w:val="20"/>
          </w:rPr>
          <w:t>www.un.org/millenniumgoals/</w:t>
        </w:r>
      </w:hyperlink>
      <w:r w:rsidR="00161A32" w:rsidRPr="00B32266">
        <w:rPr>
          <w:rFonts w:asciiTheme="minorHAnsi" w:hAnsiTheme="minorHAnsi" w:cs="Arial"/>
          <w:sz w:val="20"/>
          <w:szCs w:val="20"/>
        </w:rPr>
        <w:t xml:space="preserve"> </w:t>
      </w:r>
    </w:p>
    <w:p w:rsidR="00883CA7" w:rsidRPr="00B32266" w:rsidRDefault="00883CA7" w:rsidP="00883CA7">
      <w:pPr>
        <w:numPr>
          <w:ilvl w:val="0"/>
          <w:numId w:val="1"/>
        </w:numPr>
        <w:rPr>
          <w:rFonts w:asciiTheme="minorHAnsi" w:hAnsiTheme="minorHAnsi" w:cs="Arial"/>
          <w:sz w:val="20"/>
          <w:szCs w:val="20"/>
        </w:rPr>
      </w:pPr>
      <w:r>
        <w:rPr>
          <w:rFonts w:asciiTheme="minorHAnsi" w:hAnsiTheme="minorHAnsi" w:cs="Arial"/>
          <w:sz w:val="20"/>
          <w:szCs w:val="20"/>
        </w:rPr>
        <w:t xml:space="preserve">World Bank - </w:t>
      </w:r>
      <w:r w:rsidRPr="00B32266">
        <w:rPr>
          <w:rFonts w:asciiTheme="minorHAnsi" w:hAnsiTheme="minorHAnsi" w:cs="Arial"/>
          <w:sz w:val="20"/>
          <w:szCs w:val="20"/>
        </w:rPr>
        <w:t>Community</w:t>
      </w:r>
      <w:r>
        <w:rPr>
          <w:rFonts w:asciiTheme="minorHAnsi" w:hAnsiTheme="minorHAnsi" w:cs="Arial"/>
          <w:sz w:val="20"/>
          <w:szCs w:val="20"/>
        </w:rPr>
        <w:t xml:space="preserve"> Driven Development</w:t>
      </w:r>
    </w:p>
    <w:p w:rsidR="00883CA7" w:rsidRPr="00B32266" w:rsidRDefault="00D1402D" w:rsidP="00883CA7">
      <w:pPr>
        <w:ind w:left="720"/>
        <w:rPr>
          <w:rFonts w:asciiTheme="minorHAnsi" w:hAnsiTheme="minorHAnsi" w:cs="Arial"/>
          <w:sz w:val="20"/>
          <w:szCs w:val="20"/>
        </w:rPr>
      </w:pPr>
      <w:hyperlink r:id="rId13" w:history="1">
        <w:r w:rsidR="00883CA7" w:rsidRPr="00B32266">
          <w:rPr>
            <w:rStyle w:val="Hyperlink"/>
            <w:rFonts w:asciiTheme="minorHAnsi" w:hAnsiTheme="minorHAnsi" w:cs="Arial"/>
            <w:sz w:val="20"/>
            <w:szCs w:val="20"/>
          </w:rPr>
          <w:t>web.worldbank.org/WBSITE/EXTERNAL/TOPICS/EXTSOCIALDEVELOPMENT/EXTCDD/0,,menuPK:430167~pagePK:149018~piPK:149093~theSitePK:430161,00.html</w:t>
        </w:r>
      </w:hyperlink>
      <w:r w:rsidR="00883CA7" w:rsidRPr="00B32266">
        <w:rPr>
          <w:rFonts w:asciiTheme="minorHAnsi" w:hAnsiTheme="minorHAnsi" w:cs="Arial"/>
          <w:sz w:val="20"/>
          <w:szCs w:val="20"/>
        </w:rPr>
        <w:t xml:space="preserve"> </w:t>
      </w:r>
    </w:p>
    <w:p w:rsidR="00883CA7" w:rsidRDefault="00883CA7" w:rsidP="00883CA7">
      <w:pPr>
        <w:ind w:left="720"/>
        <w:rPr>
          <w:rFonts w:asciiTheme="minorHAnsi" w:hAnsiTheme="minorHAnsi"/>
          <w:sz w:val="20"/>
          <w:szCs w:val="20"/>
        </w:rPr>
      </w:pPr>
    </w:p>
    <w:p w:rsidR="00883CA7" w:rsidRPr="00B32266" w:rsidRDefault="00883CA7" w:rsidP="00883CA7">
      <w:pPr>
        <w:ind w:left="720"/>
        <w:rPr>
          <w:rFonts w:asciiTheme="minorHAnsi" w:hAnsiTheme="minorHAnsi"/>
        </w:rPr>
      </w:pPr>
    </w:p>
    <w:p w:rsidR="00161A32" w:rsidRPr="00B32266" w:rsidRDefault="00161A32" w:rsidP="00161A32">
      <w:pPr>
        <w:ind w:left="720"/>
        <w:rPr>
          <w:rFonts w:asciiTheme="minorHAnsi" w:hAnsiTheme="minorHAnsi"/>
        </w:rPr>
      </w:pPr>
    </w:p>
    <w:sectPr w:rsidR="00161A32" w:rsidRPr="00B32266" w:rsidSect="004E18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447DF"/>
    <w:multiLevelType w:val="hybridMultilevel"/>
    <w:tmpl w:val="D17278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10296C"/>
    <w:multiLevelType w:val="hybridMultilevel"/>
    <w:tmpl w:val="93BAF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D7640C"/>
    <w:multiLevelType w:val="hybridMultilevel"/>
    <w:tmpl w:val="1E866D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74053B"/>
    <w:multiLevelType w:val="hybridMultilevel"/>
    <w:tmpl w:val="E7B0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DA2297"/>
    <w:multiLevelType w:val="hybridMultilevel"/>
    <w:tmpl w:val="6ECE7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D3BF6"/>
    <w:multiLevelType w:val="hybridMultilevel"/>
    <w:tmpl w:val="321EF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053614"/>
    <w:multiLevelType w:val="hybridMultilevel"/>
    <w:tmpl w:val="B838F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961B6E"/>
    <w:multiLevelType w:val="hybridMultilevel"/>
    <w:tmpl w:val="9496C2B0"/>
    <w:lvl w:ilvl="0" w:tplc="48E6FCC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C4E6080"/>
    <w:multiLevelType w:val="hybridMultilevel"/>
    <w:tmpl w:val="C6D692B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CCF4565"/>
    <w:multiLevelType w:val="hybridMultilevel"/>
    <w:tmpl w:val="019AACF2"/>
    <w:lvl w:ilvl="0" w:tplc="B57035A4">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42811B17"/>
    <w:multiLevelType w:val="hybridMultilevel"/>
    <w:tmpl w:val="D1D6BAB2"/>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130D9A"/>
    <w:multiLevelType w:val="hybridMultilevel"/>
    <w:tmpl w:val="1C123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F515B0"/>
    <w:multiLevelType w:val="hybridMultilevel"/>
    <w:tmpl w:val="62A026AA"/>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EDB01310">
      <w:start w:val="1"/>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D2713E8"/>
    <w:multiLevelType w:val="multilevel"/>
    <w:tmpl w:val="456C9AEA"/>
    <w:lvl w:ilvl="0">
      <w:start w:val="1"/>
      <w:numFmt w:val="decimal"/>
      <w:pStyle w:val="Heading2"/>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553F0B69"/>
    <w:multiLevelType w:val="hybridMultilevel"/>
    <w:tmpl w:val="E5CED6CE"/>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nsid w:val="5B7C7FDA"/>
    <w:multiLevelType w:val="hybridMultilevel"/>
    <w:tmpl w:val="EE583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DA14515"/>
    <w:multiLevelType w:val="hybridMultilevel"/>
    <w:tmpl w:val="2B96961A"/>
    <w:lvl w:ilvl="0" w:tplc="3C248C28">
      <w:start w:val="1"/>
      <w:numFmt w:val="bullet"/>
      <w:lvlText w:val=""/>
      <w:lvlJc w:val="left"/>
      <w:pPr>
        <w:ind w:left="360" w:hanging="360"/>
      </w:pPr>
      <w:rPr>
        <w:rFonts w:ascii="Wingdings" w:hAnsi="Wingdings" w:hint="default"/>
        <w:b w:val="0"/>
        <w:bCs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6115CE7"/>
    <w:multiLevelType w:val="hybridMultilevel"/>
    <w:tmpl w:val="9A482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7F542D7"/>
    <w:multiLevelType w:val="hybridMultilevel"/>
    <w:tmpl w:val="0AE660F8"/>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BF831FB"/>
    <w:multiLevelType w:val="hybridMultilevel"/>
    <w:tmpl w:val="5DB0C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17"/>
  </w:num>
  <w:num w:numId="5">
    <w:abstractNumId w:val="19"/>
  </w:num>
  <w:num w:numId="6">
    <w:abstractNumId w:val="1"/>
  </w:num>
  <w:num w:numId="7">
    <w:abstractNumId w:val="7"/>
  </w:num>
  <w:num w:numId="8">
    <w:abstractNumId w:val="15"/>
  </w:num>
  <w:num w:numId="9">
    <w:abstractNumId w:val="5"/>
  </w:num>
  <w:num w:numId="10">
    <w:abstractNumId w:val="11"/>
  </w:num>
  <w:num w:numId="11">
    <w:abstractNumId w:val="10"/>
  </w:num>
  <w:num w:numId="12">
    <w:abstractNumId w:val="13"/>
  </w:num>
  <w:num w:numId="13">
    <w:abstractNumId w:val="3"/>
  </w:num>
  <w:num w:numId="14">
    <w:abstractNumId w:val="14"/>
  </w:num>
  <w:num w:numId="15">
    <w:abstractNumId w:val="16"/>
  </w:num>
  <w:num w:numId="16">
    <w:abstractNumId w:val="6"/>
  </w:num>
  <w:num w:numId="17">
    <w:abstractNumId w:val="2"/>
  </w:num>
  <w:num w:numId="18">
    <w:abstractNumId w:val="4"/>
  </w:num>
  <w:num w:numId="19">
    <w:abstractNumId w:val="8"/>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161A32"/>
    <w:rsid w:val="00047307"/>
    <w:rsid w:val="000568CE"/>
    <w:rsid w:val="00067457"/>
    <w:rsid w:val="00161A32"/>
    <w:rsid w:val="001C500E"/>
    <w:rsid w:val="002A1464"/>
    <w:rsid w:val="00325E41"/>
    <w:rsid w:val="004B3FBA"/>
    <w:rsid w:val="004C6A5B"/>
    <w:rsid w:val="004E18AF"/>
    <w:rsid w:val="004F45C2"/>
    <w:rsid w:val="00502940"/>
    <w:rsid w:val="00512A9C"/>
    <w:rsid w:val="00552B8A"/>
    <w:rsid w:val="00673D97"/>
    <w:rsid w:val="00711BCC"/>
    <w:rsid w:val="007520A7"/>
    <w:rsid w:val="007E4EF6"/>
    <w:rsid w:val="007F354F"/>
    <w:rsid w:val="00807241"/>
    <w:rsid w:val="00842D1D"/>
    <w:rsid w:val="00850720"/>
    <w:rsid w:val="008647F4"/>
    <w:rsid w:val="00883CA7"/>
    <w:rsid w:val="008C3F19"/>
    <w:rsid w:val="0094547F"/>
    <w:rsid w:val="00983CDA"/>
    <w:rsid w:val="00A66300"/>
    <w:rsid w:val="00B32266"/>
    <w:rsid w:val="00B353EC"/>
    <w:rsid w:val="00BB710D"/>
    <w:rsid w:val="00BE6597"/>
    <w:rsid w:val="00CE7E43"/>
    <w:rsid w:val="00D1402D"/>
    <w:rsid w:val="00D55724"/>
    <w:rsid w:val="00D90DC3"/>
    <w:rsid w:val="00DD23AD"/>
    <w:rsid w:val="00DE1186"/>
    <w:rsid w:val="00FB2428"/>
    <w:rsid w:val="00FC5672"/>
  </w:rsids>
  <m:mathPr>
    <m:mathFont m:val="Cambria Math"/>
    <m:brkBin m:val="before"/>
    <m:brkBinSub m:val="--"/>
    <m:smallFrac m:val="off"/>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A32"/>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BodyText"/>
    <w:link w:val="Heading2Char"/>
    <w:autoRedefine/>
    <w:qFormat/>
    <w:rsid w:val="007520A7"/>
    <w:pPr>
      <w:keepNext/>
      <w:numPr>
        <w:numId w:val="12"/>
      </w:numPr>
      <w:spacing w:after="240" w:line="240" w:lineRule="atLeast"/>
      <w:outlineLvl w:val="1"/>
    </w:pPr>
    <w:rPr>
      <w:rFonts w:asciiTheme="minorHAnsi" w:hAnsiTheme="minorHAnsi"/>
      <w:b/>
      <w:bCs/>
      <w:sz w:val="22"/>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BodyText"/>
    <w:rsid w:val="00161A32"/>
    <w:pPr>
      <w:spacing w:after="0" w:line="260" w:lineRule="atLeast"/>
    </w:pPr>
    <w:rPr>
      <w:sz w:val="20"/>
      <w:szCs w:val="20"/>
      <w:lang w:eastAsia="en-US"/>
    </w:rPr>
  </w:style>
  <w:style w:type="character" w:styleId="Hyperlink">
    <w:name w:val="Hyperlink"/>
    <w:basedOn w:val="DefaultParagraphFont"/>
    <w:uiPriority w:val="99"/>
    <w:rsid w:val="00161A32"/>
    <w:rPr>
      <w:color w:val="0000FF"/>
      <w:u w:val="single"/>
    </w:rPr>
  </w:style>
  <w:style w:type="paragraph" w:styleId="ListParagraph">
    <w:name w:val="List Paragraph"/>
    <w:basedOn w:val="Normal"/>
    <w:uiPriority w:val="34"/>
    <w:qFormat/>
    <w:rsid w:val="00161A32"/>
    <w:pPr>
      <w:ind w:left="720"/>
    </w:pPr>
  </w:style>
  <w:style w:type="paragraph" w:styleId="BodyText">
    <w:name w:val="Body Text"/>
    <w:basedOn w:val="Normal"/>
    <w:link w:val="BodyTextChar"/>
    <w:uiPriority w:val="99"/>
    <w:semiHidden/>
    <w:unhideWhenUsed/>
    <w:rsid w:val="00161A32"/>
    <w:pPr>
      <w:spacing w:after="120"/>
    </w:pPr>
  </w:style>
  <w:style w:type="character" w:customStyle="1" w:styleId="BodyTextChar">
    <w:name w:val="Body Text Char"/>
    <w:basedOn w:val="DefaultParagraphFont"/>
    <w:link w:val="BodyText"/>
    <w:uiPriority w:val="99"/>
    <w:semiHidden/>
    <w:rsid w:val="00161A32"/>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rsid w:val="007520A7"/>
    <w:rPr>
      <w:rFonts w:eastAsia="Times New Roman" w:cs="Times New Roman"/>
      <w:b/>
      <w:bCs/>
      <w:szCs w:val="20"/>
      <w:lang w:val="en-AU" w:eastAsia="en-AU"/>
    </w:rPr>
  </w:style>
  <w:style w:type="character" w:styleId="CommentReference">
    <w:name w:val="annotation reference"/>
    <w:basedOn w:val="DefaultParagraphFont"/>
    <w:uiPriority w:val="99"/>
    <w:semiHidden/>
    <w:unhideWhenUsed/>
    <w:rsid w:val="007F354F"/>
    <w:rPr>
      <w:sz w:val="16"/>
      <w:szCs w:val="16"/>
    </w:rPr>
  </w:style>
  <w:style w:type="paragraph" w:styleId="CommentText">
    <w:name w:val="annotation text"/>
    <w:basedOn w:val="Normal"/>
    <w:link w:val="CommentTextChar"/>
    <w:uiPriority w:val="99"/>
    <w:semiHidden/>
    <w:unhideWhenUsed/>
    <w:rsid w:val="007F354F"/>
    <w:rPr>
      <w:sz w:val="20"/>
      <w:szCs w:val="20"/>
    </w:rPr>
  </w:style>
  <w:style w:type="character" w:customStyle="1" w:styleId="CommentTextChar">
    <w:name w:val="Comment Text Char"/>
    <w:basedOn w:val="DefaultParagraphFont"/>
    <w:link w:val="CommentText"/>
    <w:uiPriority w:val="99"/>
    <w:semiHidden/>
    <w:rsid w:val="007F354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F354F"/>
    <w:rPr>
      <w:b/>
      <w:bCs/>
    </w:rPr>
  </w:style>
  <w:style w:type="character" w:customStyle="1" w:styleId="CommentSubjectChar">
    <w:name w:val="Comment Subject Char"/>
    <w:basedOn w:val="CommentTextChar"/>
    <w:link w:val="CommentSubject"/>
    <w:uiPriority w:val="99"/>
    <w:semiHidden/>
    <w:rsid w:val="007F354F"/>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7F354F"/>
    <w:rPr>
      <w:rFonts w:ascii="Tahoma" w:hAnsi="Tahoma" w:cs="Tahoma"/>
      <w:sz w:val="16"/>
      <w:szCs w:val="16"/>
    </w:rPr>
  </w:style>
  <w:style w:type="character" w:customStyle="1" w:styleId="BalloonTextChar">
    <w:name w:val="Balloon Text Char"/>
    <w:basedOn w:val="DefaultParagraphFont"/>
    <w:link w:val="BalloonText"/>
    <w:uiPriority w:val="99"/>
    <w:semiHidden/>
    <w:rsid w:val="007F354F"/>
    <w:rPr>
      <w:rFonts w:ascii="Tahoma" w:eastAsia="Times New Roman" w:hAnsi="Tahoma" w:cs="Tahoma"/>
      <w:sz w:val="16"/>
      <w:szCs w:val="16"/>
      <w:lang w:val="en-GB" w:eastAsia="en-GB"/>
    </w:rPr>
  </w:style>
  <w:style w:type="character" w:styleId="FollowedHyperlink">
    <w:name w:val="FollowedHyperlink"/>
    <w:basedOn w:val="DefaultParagraphFont"/>
    <w:uiPriority w:val="99"/>
    <w:semiHidden/>
    <w:unhideWhenUsed/>
    <w:rsid w:val="00883C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A32"/>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BodyText"/>
    <w:link w:val="Heading2Char"/>
    <w:autoRedefine/>
    <w:qFormat/>
    <w:rsid w:val="007520A7"/>
    <w:pPr>
      <w:keepNext/>
      <w:numPr>
        <w:numId w:val="12"/>
      </w:numPr>
      <w:spacing w:after="240" w:line="240" w:lineRule="atLeast"/>
      <w:outlineLvl w:val="1"/>
    </w:pPr>
    <w:rPr>
      <w:rFonts w:asciiTheme="minorHAnsi" w:hAnsiTheme="minorHAnsi"/>
      <w:b/>
      <w:bCs/>
      <w:sz w:val="22"/>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BodyText"/>
    <w:rsid w:val="00161A32"/>
    <w:pPr>
      <w:spacing w:after="0" w:line="260" w:lineRule="atLeast"/>
    </w:pPr>
    <w:rPr>
      <w:sz w:val="20"/>
      <w:szCs w:val="20"/>
      <w:lang w:eastAsia="en-US"/>
    </w:rPr>
  </w:style>
  <w:style w:type="character" w:styleId="Hyperlink">
    <w:name w:val="Hyperlink"/>
    <w:basedOn w:val="DefaultParagraphFont"/>
    <w:rsid w:val="00161A32"/>
    <w:rPr>
      <w:color w:val="0000FF"/>
      <w:u w:val="single"/>
    </w:rPr>
  </w:style>
  <w:style w:type="paragraph" w:styleId="ListParagraph">
    <w:name w:val="List Paragraph"/>
    <w:basedOn w:val="Normal"/>
    <w:uiPriority w:val="34"/>
    <w:qFormat/>
    <w:rsid w:val="00161A32"/>
    <w:pPr>
      <w:ind w:left="720"/>
    </w:pPr>
  </w:style>
  <w:style w:type="paragraph" w:styleId="BodyText">
    <w:name w:val="Body Text"/>
    <w:basedOn w:val="Normal"/>
    <w:link w:val="BodyTextChar"/>
    <w:uiPriority w:val="99"/>
    <w:semiHidden/>
    <w:unhideWhenUsed/>
    <w:rsid w:val="00161A32"/>
    <w:pPr>
      <w:spacing w:after="120"/>
    </w:pPr>
  </w:style>
  <w:style w:type="character" w:customStyle="1" w:styleId="BodyTextChar">
    <w:name w:val="Body Text Char"/>
    <w:basedOn w:val="DefaultParagraphFont"/>
    <w:link w:val="BodyText"/>
    <w:uiPriority w:val="99"/>
    <w:semiHidden/>
    <w:rsid w:val="00161A32"/>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rsid w:val="007520A7"/>
    <w:rPr>
      <w:rFonts w:eastAsia="Times New Roman" w:cs="Times New Roman"/>
      <w:b/>
      <w:bCs/>
      <w:szCs w:val="20"/>
      <w:lang w:val="en-AU" w:eastAsia="en-AU"/>
    </w:rPr>
  </w:style>
</w:styles>
</file>

<file path=word/webSettings.xml><?xml version="1.0" encoding="utf-8"?>
<w:webSettings xmlns:r="http://schemas.openxmlformats.org/officeDocument/2006/relationships" xmlns:w="http://schemas.openxmlformats.org/wordprocessingml/2006/main">
  <w:divs>
    <w:div w:id="67072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r.org/en/topic/channel/bsr-insight/community-engagement-development" TargetMode="External"/><Relationship Id="rId13" Type="http://schemas.openxmlformats.org/officeDocument/2006/relationships/hyperlink" Target="http://web.worldbank.org/WBSITE/EXTERNAL/TOPICS/EXTSOCIALDEVELOPMENT/EXTCDD/0,,menuPK:430167~pagePK:149018~piPK:149093~theSitePK:430161,00.html" TargetMode="External"/><Relationship Id="rId3" Type="http://schemas.openxmlformats.org/officeDocument/2006/relationships/settings" Target="settings.xml"/><Relationship Id="rId7" Type="http://schemas.openxmlformats.org/officeDocument/2006/relationships/hyperlink" Target="http://www.angloamerican.com/development/social/community-engagement/engagement" TargetMode="External"/><Relationship Id="rId12" Type="http://schemas.openxmlformats.org/officeDocument/2006/relationships/hyperlink" Target="http://www.un.org/millenniumgoals/"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mm.com/news-and-events/news/articles/icmm-presents-updated-community-development-toolkit" TargetMode="External"/><Relationship Id="rId11" Type="http://schemas.openxmlformats.org/officeDocument/2006/relationships/hyperlink" Target="http://www.minerals.org.au/file_upload/files/resources/enduring_value/CED.pdf" TargetMode="External"/><Relationship Id="rId5" Type="http://schemas.openxmlformats.org/officeDocument/2006/relationships/hyperlink" Target="http://www.minerals.org.au/file_upload/files/resources/enduring_value/CED.pdf" TargetMode="External"/><Relationship Id="rId15" Type="http://schemas.openxmlformats.org/officeDocument/2006/relationships/theme" Target="theme/theme1.xml"/><Relationship Id="rId10" Type="http://schemas.openxmlformats.org/officeDocument/2006/relationships/hyperlink" Target="http://www.icmm.com/news-and-events/news/articles/icmm-presents-updated-community-development-toolkit" TargetMode="External"/><Relationship Id="rId4" Type="http://schemas.openxmlformats.org/officeDocument/2006/relationships/webSettings" Target="webSettings.xml"/><Relationship Id="rId9" Type="http://schemas.openxmlformats.org/officeDocument/2006/relationships/hyperlink" Target="http://www.csrm.uq.edu.au/Research/CommunityEngagementandDevelopmen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Marieke</cp:lastModifiedBy>
  <cp:revision>22</cp:revision>
  <cp:lastPrinted>2013-06-04T09:33:00Z</cp:lastPrinted>
  <dcterms:created xsi:type="dcterms:W3CDTF">2013-05-28T15:27:00Z</dcterms:created>
  <dcterms:modified xsi:type="dcterms:W3CDTF">2013-06-04T09:33:00Z</dcterms:modified>
</cp:coreProperties>
</file>