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tblPr>
      <w:tblGrid>
        <w:gridCol w:w="8522"/>
      </w:tblGrid>
      <w:tr w:rsidR="00640BB7" w:rsidRPr="007F7CB8" w:rsidTr="00A31DF6">
        <w:tc>
          <w:tcPr>
            <w:tcW w:w="8522" w:type="dxa"/>
            <w:shd w:val="clear" w:color="auto" w:fill="C4BC96" w:themeFill="background2" w:themeFillShade="BF"/>
          </w:tcPr>
          <w:p w:rsidR="00640BB7" w:rsidRPr="00F947F2" w:rsidRDefault="00040CA1" w:rsidP="004B24DE">
            <w:pPr>
              <w:rPr>
                <w:rFonts w:asciiTheme="minorHAnsi" w:hAnsiTheme="minorHAnsi" w:cs="Arial"/>
                <w:b/>
                <w:sz w:val="32"/>
                <w:szCs w:val="32"/>
              </w:rPr>
            </w:pPr>
            <w:r w:rsidRPr="00040CA1">
              <w:rPr>
                <w:rFonts w:asciiTheme="minorHAnsi" w:hAnsiTheme="minorHAnsi" w:cs="Arial"/>
                <w:b/>
                <w:sz w:val="32"/>
                <w:szCs w:val="32"/>
              </w:rPr>
              <w:t>STANDARD GUIDANCE</w:t>
            </w:r>
          </w:p>
          <w:p w:rsidR="00640BB7" w:rsidRPr="007F7CB8" w:rsidRDefault="00640BB7" w:rsidP="004B24DE">
            <w:pPr>
              <w:rPr>
                <w:rFonts w:asciiTheme="minorHAnsi" w:hAnsiTheme="minorHAnsi" w:cs="Arial"/>
                <w:sz w:val="20"/>
                <w:szCs w:val="20"/>
              </w:rPr>
            </w:pPr>
          </w:p>
          <w:p w:rsidR="00640BB7" w:rsidRPr="007F7CB8" w:rsidRDefault="008D3907" w:rsidP="00F6081B">
            <w:pPr>
              <w:rPr>
                <w:rFonts w:asciiTheme="minorHAnsi" w:hAnsiTheme="minorHAnsi" w:cs="Arial"/>
                <w:b/>
                <w:sz w:val="32"/>
                <w:szCs w:val="32"/>
              </w:rPr>
            </w:pPr>
            <w:r>
              <w:rPr>
                <w:rFonts w:asciiTheme="minorHAnsi" w:hAnsiTheme="minorHAnsi" w:cs="Arial"/>
                <w:b/>
                <w:sz w:val="32"/>
                <w:szCs w:val="32"/>
              </w:rPr>
              <w:t xml:space="preserve">(COP </w:t>
            </w:r>
            <w:r w:rsidR="00F6081B">
              <w:rPr>
                <w:rFonts w:asciiTheme="minorHAnsi" w:hAnsiTheme="minorHAnsi" w:cs="Arial"/>
                <w:b/>
                <w:sz w:val="32"/>
                <w:szCs w:val="32"/>
              </w:rPr>
              <w:t>3</w:t>
            </w:r>
            <w:r w:rsidR="00040CA1" w:rsidRPr="00040CA1">
              <w:rPr>
                <w:rFonts w:asciiTheme="minorHAnsi" w:hAnsiTheme="minorHAnsi" w:cs="Arial"/>
                <w:b/>
                <w:sz w:val="32"/>
                <w:szCs w:val="32"/>
              </w:rPr>
              <w:t>)  Reporting</w:t>
            </w:r>
          </w:p>
        </w:tc>
      </w:tr>
    </w:tbl>
    <w:p w:rsidR="00640BB7" w:rsidRPr="007F7CB8" w:rsidRDefault="00640BB7" w:rsidP="00640BB7">
      <w:pPr>
        <w:rPr>
          <w:rFonts w:asciiTheme="minorHAnsi" w:hAnsiTheme="minorHAnsi"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tblPr>
      <w:tblGrid>
        <w:gridCol w:w="8522"/>
      </w:tblGrid>
      <w:tr w:rsidR="00640BB7" w:rsidRPr="007F7CB8" w:rsidTr="00A31DF6">
        <w:tc>
          <w:tcPr>
            <w:tcW w:w="8522" w:type="dxa"/>
            <w:shd w:val="clear" w:color="auto" w:fill="C4BC96" w:themeFill="background2" w:themeFillShade="BF"/>
          </w:tcPr>
          <w:p w:rsidR="00640BB7" w:rsidRPr="007F7CB8" w:rsidRDefault="00040CA1" w:rsidP="00640BB7">
            <w:pPr>
              <w:numPr>
                <w:ilvl w:val="0"/>
                <w:numId w:val="6"/>
              </w:numPr>
              <w:rPr>
                <w:rFonts w:asciiTheme="minorHAnsi" w:hAnsiTheme="minorHAnsi" w:cs="Arial"/>
                <w:b/>
              </w:rPr>
            </w:pPr>
            <w:r w:rsidRPr="00040CA1">
              <w:rPr>
                <w:rFonts w:asciiTheme="minorHAnsi" w:hAnsiTheme="minorHAnsi" w:cs="Arial"/>
                <w:b/>
              </w:rPr>
              <w:t>Definition and applicability</w:t>
            </w:r>
          </w:p>
        </w:tc>
      </w:tr>
    </w:tbl>
    <w:p w:rsidR="00640BB7" w:rsidRPr="007F7CB8" w:rsidRDefault="00640BB7" w:rsidP="00640BB7">
      <w:pPr>
        <w:rPr>
          <w:rFonts w:asciiTheme="minorHAnsi" w:hAnsiTheme="minorHAnsi" w:cs="Arial"/>
          <w:sz w:val="20"/>
          <w:szCs w:val="20"/>
        </w:rPr>
      </w:pPr>
    </w:p>
    <w:p w:rsidR="00640BB7" w:rsidRPr="007F7CB8" w:rsidRDefault="001A0B3B" w:rsidP="00640BB7">
      <w:pPr>
        <w:rPr>
          <w:rFonts w:asciiTheme="minorHAnsi" w:hAnsiTheme="minorHAnsi" w:cs="Arial"/>
          <w:sz w:val="20"/>
          <w:szCs w:val="20"/>
        </w:rPr>
      </w:pPr>
      <w:r>
        <w:rPr>
          <w:rFonts w:asciiTheme="minorHAnsi" w:hAnsiTheme="minorHAnsi" w:cs="Arial"/>
          <w:b/>
          <w:bCs/>
          <w:sz w:val="20"/>
          <w:szCs w:val="20"/>
        </w:rPr>
        <w:t>R</w:t>
      </w:r>
      <w:r w:rsidR="00040CA1" w:rsidRPr="00040CA1">
        <w:rPr>
          <w:rFonts w:asciiTheme="minorHAnsi" w:hAnsiTheme="minorHAnsi" w:cs="Arial"/>
          <w:b/>
          <w:bCs/>
          <w:sz w:val="20"/>
          <w:szCs w:val="20"/>
        </w:rPr>
        <w:t>eporting</w:t>
      </w:r>
      <w:r w:rsidR="00040CA1" w:rsidRPr="00040CA1">
        <w:rPr>
          <w:rFonts w:asciiTheme="minorHAnsi" w:hAnsiTheme="minorHAnsi" w:cs="Arial"/>
          <w:sz w:val="20"/>
          <w:szCs w:val="20"/>
        </w:rPr>
        <w:t xml:space="preserve"> is a process for publicly </w:t>
      </w:r>
      <w:r>
        <w:rPr>
          <w:rFonts w:asciiTheme="minorHAnsi" w:hAnsiTheme="minorHAnsi" w:cs="Arial"/>
          <w:sz w:val="20"/>
          <w:szCs w:val="20"/>
        </w:rPr>
        <w:t xml:space="preserve">communicating about </w:t>
      </w:r>
      <w:r w:rsidR="00040CA1" w:rsidRPr="00040CA1">
        <w:rPr>
          <w:rFonts w:asciiTheme="minorHAnsi" w:hAnsiTheme="minorHAnsi" w:cs="Arial"/>
          <w:sz w:val="20"/>
          <w:szCs w:val="20"/>
        </w:rPr>
        <w:t xml:space="preserve">an organization’s </w:t>
      </w:r>
      <w:r>
        <w:rPr>
          <w:rFonts w:asciiTheme="minorHAnsi" w:hAnsiTheme="minorHAnsi" w:cs="Arial"/>
          <w:sz w:val="20"/>
          <w:szCs w:val="20"/>
        </w:rPr>
        <w:t>business practices relevant to the RJC Code of Practices</w:t>
      </w:r>
      <w:r w:rsidR="00BB5673">
        <w:rPr>
          <w:rFonts w:asciiTheme="minorHAnsi" w:hAnsiTheme="minorHAnsi" w:cs="Arial"/>
          <w:sz w:val="20"/>
          <w:szCs w:val="20"/>
        </w:rPr>
        <w:t xml:space="preserve">.  </w:t>
      </w:r>
    </w:p>
    <w:p w:rsidR="00640BB7" w:rsidRPr="007F7CB8" w:rsidRDefault="00640BB7" w:rsidP="00640BB7">
      <w:pPr>
        <w:rPr>
          <w:rFonts w:asciiTheme="minorHAnsi" w:hAnsiTheme="minorHAnsi" w:cs="Arial"/>
          <w:i/>
          <w:sz w:val="20"/>
          <w:szCs w:val="20"/>
        </w:rPr>
      </w:pPr>
    </w:p>
    <w:p w:rsidR="00640BB7" w:rsidRDefault="00040CA1" w:rsidP="00640BB7">
      <w:pPr>
        <w:rPr>
          <w:rFonts w:asciiTheme="minorHAnsi" w:hAnsiTheme="minorHAnsi" w:cs="Arial"/>
          <w:i/>
          <w:sz w:val="20"/>
          <w:szCs w:val="20"/>
        </w:rPr>
      </w:pPr>
      <w:r w:rsidRPr="00040CA1">
        <w:rPr>
          <w:rFonts w:asciiTheme="minorHAnsi" w:hAnsiTheme="minorHAnsi" w:cs="Arial"/>
          <w:i/>
          <w:sz w:val="20"/>
          <w:szCs w:val="20"/>
        </w:rPr>
        <w:t xml:space="preserve">Source: </w:t>
      </w:r>
    </w:p>
    <w:p w:rsidR="00040CA1" w:rsidRPr="00040CA1" w:rsidRDefault="00696DC1" w:rsidP="00040CA1">
      <w:pPr>
        <w:pStyle w:val="ListParagraph"/>
        <w:numPr>
          <w:ilvl w:val="0"/>
          <w:numId w:val="11"/>
        </w:numPr>
        <w:rPr>
          <w:rFonts w:asciiTheme="minorHAnsi" w:hAnsiTheme="minorHAnsi" w:cs="Arial"/>
          <w:i/>
          <w:sz w:val="20"/>
          <w:szCs w:val="20"/>
        </w:rPr>
      </w:pPr>
      <w:r>
        <w:rPr>
          <w:rFonts w:asciiTheme="minorHAnsi" w:hAnsiTheme="minorHAnsi" w:cs="Arial"/>
          <w:i/>
          <w:sz w:val="20"/>
          <w:szCs w:val="20"/>
        </w:rPr>
        <w:t>RJC Code of Practices</w:t>
      </w:r>
      <w:r w:rsidR="0076023A">
        <w:rPr>
          <w:rFonts w:asciiTheme="minorHAnsi" w:hAnsiTheme="minorHAnsi" w:cs="Arial"/>
          <w:i/>
          <w:sz w:val="20"/>
          <w:szCs w:val="20"/>
        </w:rPr>
        <w:t xml:space="preserve"> </w:t>
      </w:r>
      <w:r w:rsidR="00113D33">
        <w:rPr>
          <w:rFonts w:asciiTheme="minorHAnsi" w:hAnsiTheme="minorHAnsi" w:cs="Arial"/>
          <w:i/>
          <w:sz w:val="20"/>
          <w:szCs w:val="20"/>
        </w:rPr>
        <w:t>(2013)</w:t>
      </w:r>
    </w:p>
    <w:p w:rsidR="00040CA1" w:rsidRPr="00A1183E" w:rsidRDefault="00040CA1" w:rsidP="00040CA1">
      <w:pPr>
        <w:pStyle w:val="ListParagraph"/>
        <w:numPr>
          <w:ilvl w:val="1"/>
          <w:numId w:val="1"/>
        </w:numPr>
        <w:ind w:left="714" w:hanging="357"/>
        <w:rPr>
          <w:rFonts w:asciiTheme="minorHAnsi" w:hAnsiTheme="minorHAnsi" w:cs="Arial"/>
          <w:i/>
          <w:sz w:val="20"/>
          <w:szCs w:val="20"/>
        </w:rPr>
      </w:pPr>
      <w:r w:rsidRPr="00A1183E">
        <w:rPr>
          <w:rFonts w:asciiTheme="minorHAnsi" w:hAnsiTheme="minorHAnsi" w:cs="Arial"/>
          <w:i/>
          <w:sz w:val="20"/>
          <w:szCs w:val="20"/>
        </w:rPr>
        <w:t>Global Reporting Initiative</w:t>
      </w:r>
      <w:r w:rsidR="00113D33" w:rsidRPr="00A1183E">
        <w:rPr>
          <w:rFonts w:asciiTheme="minorHAnsi" w:hAnsiTheme="minorHAnsi" w:cs="Arial"/>
          <w:i/>
          <w:sz w:val="20"/>
          <w:szCs w:val="20"/>
        </w:rPr>
        <w:t xml:space="preserve"> (GRI)</w:t>
      </w:r>
    </w:p>
    <w:p w:rsidR="00113D33" w:rsidRPr="00A1183E" w:rsidRDefault="008F4E06" w:rsidP="00113D33">
      <w:pPr>
        <w:pStyle w:val="ListParagraph"/>
        <w:ind w:left="714"/>
        <w:rPr>
          <w:rFonts w:asciiTheme="minorHAnsi" w:hAnsiTheme="minorHAnsi" w:cs="Arial"/>
          <w:i/>
          <w:sz w:val="20"/>
          <w:szCs w:val="20"/>
        </w:rPr>
      </w:pPr>
      <w:hyperlink r:id="rId5" w:history="1">
        <w:r w:rsidR="00113D33" w:rsidRPr="00A1183E">
          <w:rPr>
            <w:rStyle w:val="Hyperlink"/>
            <w:rFonts w:asciiTheme="minorHAnsi" w:hAnsiTheme="minorHAnsi" w:cs="Arial"/>
            <w:i/>
            <w:sz w:val="20"/>
            <w:szCs w:val="20"/>
          </w:rPr>
          <w:t>https://www.globalreporting.org/information/sustainability-reporting/Pages/default.aspx</w:t>
        </w:r>
      </w:hyperlink>
    </w:p>
    <w:p w:rsidR="00640BB7" w:rsidRPr="007F7CB8" w:rsidRDefault="00640BB7" w:rsidP="00640BB7">
      <w:pPr>
        <w:rPr>
          <w:rFonts w:asciiTheme="minorHAnsi" w:hAnsiTheme="minorHAnsi" w:cs="Arial"/>
          <w:i/>
          <w:sz w:val="20"/>
          <w:szCs w:val="20"/>
        </w:rPr>
      </w:pPr>
    </w:p>
    <w:p w:rsidR="00640BB7" w:rsidRPr="007F7CB8" w:rsidRDefault="00040CA1" w:rsidP="00640BB7">
      <w:pPr>
        <w:rPr>
          <w:rFonts w:asciiTheme="minorHAnsi" w:hAnsiTheme="minorHAnsi" w:cs="Arial"/>
          <w:sz w:val="20"/>
          <w:szCs w:val="20"/>
        </w:rPr>
      </w:pPr>
      <w:r w:rsidRPr="00040CA1">
        <w:rPr>
          <w:rFonts w:asciiTheme="minorHAnsi" w:hAnsiTheme="minorHAnsi" w:cs="Arial"/>
          <w:sz w:val="20"/>
          <w:szCs w:val="20"/>
        </w:rPr>
        <w:t xml:space="preserve">The </w:t>
      </w:r>
      <w:r w:rsidRPr="00040CA1">
        <w:rPr>
          <w:rFonts w:asciiTheme="minorHAnsi" w:hAnsiTheme="minorHAnsi" w:cs="Arial"/>
          <w:b/>
          <w:sz w:val="20"/>
          <w:szCs w:val="20"/>
        </w:rPr>
        <w:t>Reporting</w:t>
      </w:r>
      <w:r w:rsidRPr="00040CA1">
        <w:rPr>
          <w:rFonts w:asciiTheme="minorHAnsi" w:hAnsiTheme="minorHAnsi" w:cs="Arial"/>
          <w:sz w:val="20"/>
          <w:szCs w:val="20"/>
        </w:rPr>
        <w:t xml:space="preserve"> </w:t>
      </w:r>
      <w:r w:rsidR="001A0B3B">
        <w:rPr>
          <w:rFonts w:asciiTheme="minorHAnsi" w:hAnsiTheme="minorHAnsi" w:cs="Arial"/>
          <w:sz w:val="20"/>
          <w:szCs w:val="20"/>
        </w:rPr>
        <w:t xml:space="preserve">provision </w:t>
      </w:r>
      <w:r w:rsidR="00F6081B">
        <w:rPr>
          <w:rFonts w:asciiTheme="minorHAnsi" w:hAnsiTheme="minorHAnsi" w:cs="Arial"/>
          <w:sz w:val="20"/>
          <w:szCs w:val="20"/>
        </w:rPr>
        <w:t>3</w:t>
      </w:r>
      <w:r w:rsidR="001A0B3B">
        <w:rPr>
          <w:rFonts w:asciiTheme="minorHAnsi" w:hAnsiTheme="minorHAnsi" w:cs="Arial"/>
          <w:sz w:val="20"/>
          <w:szCs w:val="20"/>
        </w:rPr>
        <w:t>.1</w:t>
      </w:r>
      <w:r w:rsidRPr="00040CA1">
        <w:rPr>
          <w:rFonts w:asciiTheme="minorHAnsi" w:hAnsiTheme="minorHAnsi" w:cs="Arial"/>
          <w:sz w:val="20"/>
          <w:szCs w:val="20"/>
        </w:rPr>
        <w:t xml:space="preserve"> is applicable to all Members</w:t>
      </w:r>
      <w:r w:rsidR="00696DC1">
        <w:rPr>
          <w:rFonts w:asciiTheme="minorHAnsi" w:hAnsiTheme="minorHAnsi" w:cs="Arial"/>
          <w:sz w:val="20"/>
          <w:szCs w:val="20"/>
        </w:rPr>
        <w:t>, whereas</w:t>
      </w:r>
      <w:r w:rsidR="001A0B3B">
        <w:rPr>
          <w:rFonts w:asciiTheme="minorHAnsi" w:hAnsiTheme="minorHAnsi" w:cs="Arial"/>
          <w:sz w:val="20"/>
          <w:szCs w:val="20"/>
        </w:rPr>
        <w:t xml:space="preserve"> </w:t>
      </w:r>
      <w:r w:rsidR="00F6081B">
        <w:rPr>
          <w:rFonts w:asciiTheme="minorHAnsi" w:hAnsiTheme="minorHAnsi" w:cs="Arial"/>
          <w:sz w:val="20"/>
          <w:szCs w:val="20"/>
        </w:rPr>
        <w:t>3</w:t>
      </w:r>
      <w:r w:rsidR="001A0B3B">
        <w:rPr>
          <w:rFonts w:asciiTheme="minorHAnsi" w:hAnsiTheme="minorHAnsi" w:cs="Arial"/>
          <w:sz w:val="20"/>
          <w:szCs w:val="20"/>
        </w:rPr>
        <w:t xml:space="preserve">.2 </w:t>
      </w:r>
      <w:proofErr w:type="gramStart"/>
      <w:r w:rsidR="001A0B3B">
        <w:rPr>
          <w:rFonts w:asciiTheme="minorHAnsi" w:hAnsiTheme="minorHAnsi" w:cs="Arial"/>
          <w:sz w:val="20"/>
          <w:szCs w:val="20"/>
        </w:rPr>
        <w:t>is</w:t>
      </w:r>
      <w:proofErr w:type="gramEnd"/>
      <w:r w:rsidR="001A0B3B">
        <w:rPr>
          <w:rFonts w:asciiTheme="minorHAnsi" w:hAnsiTheme="minorHAnsi" w:cs="Arial"/>
          <w:sz w:val="20"/>
          <w:szCs w:val="20"/>
        </w:rPr>
        <w:t xml:space="preserve"> applicable to Members</w:t>
      </w:r>
      <w:r w:rsidRPr="00040CA1">
        <w:rPr>
          <w:rFonts w:asciiTheme="minorHAnsi" w:hAnsiTheme="minorHAnsi" w:cs="Arial"/>
          <w:sz w:val="20"/>
          <w:szCs w:val="20"/>
        </w:rPr>
        <w:t xml:space="preserve"> </w:t>
      </w:r>
      <w:r w:rsidR="00DA77F8">
        <w:rPr>
          <w:rFonts w:asciiTheme="minorHAnsi" w:hAnsiTheme="minorHAnsi" w:cs="Arial"/>
          <w:sz w:val="20"/>
          <w:szCs w:val="20"/>
        </w:rPr>
        <w:t>in the Mining Sector.</w:t>
      </w:r>
      <w:r w:rsidRPr="00040CA1">
        <w:rPr>
          <w:rFonts w:asciiTheme="minorHAnsi" w:hAnsiTheme="minorHAnsi" w:cs="Arial"/>
          <w:sz w:val="20"/>
          <w:szCs w:val="20"/>
        </w:rPr>
        <w:t xml:space="preserve">  </w:t>
      </w:r>
      <w:r w:rsidR="001A0B3B">
        <w:rPr>
          <w:rFonts w:asciiTheme="minorHAnsi" w:hAnsiTheme="minorHAnsi" w:cs="Arial"/>
          <w:sz w:val="20"/>
          <w:szCs w:val="20"/>
        </w:rPr>
        <w:t xml:space="preserve">Conformance with provision </w:t>
      </w:r>
      <w:r w:rsidR="00F6081B">
        <w:rPr>
          <w:rFonts w:asciiTheme="minorHAnsi" w:hAnsiTheme="minorHAnsi" w:cs="Arial"/>
          <w:sz w:val="20"/>
          <w:szCs w:val="20"/>
        </w:rPr>
        <w:t>3</w:t>
      </w:r>
      <w:r w:rsidR="001A0B3B">
        <w:rPr>
          <w:rFonts w:asciiTheme="minorHAnsi" w:hAnsiTheme="minorHAnsi" w:cs="Arial"/>
          <w:sz w:val="20"/>
          <w:szCs w:val="20"/>
        </w:rPr>
        <w:t xml:space="preserve">.2 will result in conformance with </w:t>
      </w:r>
      <w:r w:rsidR="00F6081B">
        <w:rPr>
          <w:rFonts w:asciiTheme="minorHAnsi" w:hAnsiTheme="minorHAnsi" w:cs="Arial"/>
          <w:sz w:val="20"/>
          <w:szCs w:val="20"/>
        </w:rPr>
        <w:t>3</w:t>
      </w:r>
      <w:r w:rsidR="001A0B3B">
        <w:rPr>
          <w:rFonts w:asciiTheme="minorHAnsi" w:hAnsiTheme="minorHAnsi" w:cs="Arial"/>
          <w:sz w:val="20"/>
          <w:szCs w:val="20"/>
        </w:rPr>
        <w:t>.1.</w:t>
      </w:r>
    </w:p>
    <w:p w:rsidR="00640BB7" w:rsidRPr="007F7CB8" w:rsidRDefault="00640BB7" w:rsidP="00640BB7">
      <w:pPr>
        <w:rPr>
          <w:rFonts w:asciiTheme="minorHAnsi" w:hAnsiTheme="minorHAnsi"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tblPr>
      <w:tblGrid>
        <w:gridCol w:w="8522"/>
      </w:tblGrid>
      <w:tr w:rsidR="00640BB7" w:rsidRPr="007F7CB8" w:rsidTr="00A31DF6">
        <w:tc>
          <w:tcPr>
            <w:tcW w:w="8522" w:type="dxa"/>
            <w:shd w:val="clear" w:color="auto" w:fill="C4BC96" w:themeFill="background2" w:themeFillShade="BF"/>
          </w:tcPr>
          <w:p w:rsidR="00640BB7" w:rsidRPr="007F7CB8" w:rsidRDefault="00040CA1" w:rsidP="00640BB7">
            <w:pPr>
              <w:numPr>
                <w:ilvl w:val="0"/>
                <w:numId w:val="6"/>
              </w:numPr>
              <w:rPr>
                <w:rFonts w:asciiTheme="minorHAnsi" w:hAnsiTheme="minorHAnsi" w:cs="Arial"/>
                <w:b/>
              </w:rPr>
            </w:pPr>
            <w:r w:rsidRPr="00040CA1">
              <w:rPr>
                <w:rFonts w:asciiTheme="minorHAnsi" w:hAnsiTheme="minorHAnsi" w:cs="Arial"/>
                <w:b/>
              </w:rPr>
              <w:t>Issue background</w:t>
            </w:r>
          </w:p>
        </w:tc>
      </w:tr>
    </w:tbl>
    <w:p w:rsidR="00640BB7" w:rsidRPr="007F7CB8" w:rsidRDefault="00640BB7" w:rsidP="00640BB7">
      <w:pPr>
        <w:rPr>
          <w:rFonts w:asciiTheme="minorHAnsi" w:hAnsiTheme="minorHAnsi" w:cs="Arial"/>
          <w:sz w:val="20"/>
          <w:szCs w:val="20"/>
        </w:rPr>
      </w:pPr>
    </w:p>
    <w:p w:rsidR="003C3D7C" w:rsidRDefault="003C3D7C" w:rsidP="00640BB7">
      <w:pPr>
        <w:rPr>
          <w:rFonts w:asciiTheme="minorHAnsi" w:hAnsiTheme="minorHAnsi" w:cs="Arial"/>
          <w:sz w:val="20"/>
          <w:szCs w:val="20"/>
        </w:rPr>
      </w:pPr>
      <w:r>
        <w:rPr>
          <w:rFonts w:asciiTheme="minorHAnsi" w:hAnsiTheme="minorHAnsi" w:cs="Arial"/>
          <w:sz w:val="20"/>
          <w:szCs w:val="20"/>
        </w:rPr>
        <w:t>Increasingly, companies are incorporating economic, environmental and social information into their public reporting.  This form of reporting responds to t</w:t>
      </w:r>
      <w:r w:rsidR="00BB5673">
        <w:rPr>
          <w:rFonts w:asciiTheme="minorHAnsi" w:hAnsiTheme="minorHAnsi" w:cs="Arial"/>
          <w:sz w:val="20"/>
          <w:szCs w:val="20"/>
        </w:rPr>
        <w:t xml:space="preserve">he expectations of stakeholders, including </w:t>
      </w:r>
      <w:r>
        <w:rPr>
          <w:rFonts w:asciiTheme="minorHAnsi" w:hAnsiTheme="minorHAnsi" w:cs="Arial"/>
          <w:sz w:val="20"/>
          <w:szCs w:val="20"/>
        </w:rPr>
        <w:t xml:space="preserve">regulators, civil society, shareholders, communities, employees, </w:t>
      </w:r>
      <w:r w:rsidR="00BB5673">
        <w:rPr>
          <w:rFonts w:asciiTheme="minorHAnsi" w:hAnsiTheme="minorHAnsi" w:cs="Arial"/>
          <w:sz w:val="20"/>
          <w:szCs w:val="20"/>
        </w:rPr>
        <w:t xml:space="preserve">and </w:t>
      </w:r>
      <w:r>
        <w:rPr>
          <w:rFonts w:asciiTheme="minorHAnsi" w:hAnsiTheme="minorHAnsi" w:cs="Arial"/>
          <w:sz w:val="20"/>
          <w:szCs w:val="20"/>
        </w:rPr>
        <w:t>cus</w:t>
      </w:r>
      <w:r w:rsidR="00BB5673">
        <w:rPr>
          <w:rFonts w:asciiTheme="minorHAnsi" w:hAnsiTheme="minorHAnsi" w:cs="Arial"/>
          <w:sz w:val="20"/>
          <w:szCs w:val="20"/>
        </w:rPr>
        <w:t xml:space="preserve">tomers, </w:t>
      </w:r>
      <w:r>
        <w:rPr>
          <w:rFonts w:asciiTheme="minorHAnsi" w:hAnsiTheme="minorHAnsi" w:cs="Arial"/>
          <w:sz w:val="20"/>
          <w:szCs w:val="20"/>
        </w:rPr>
        <w:t xml:space="preserve">in understanding the impacts of companies on society. </w:t>
      </w:r>
      <w:r w:rsidRPr="003902BA">
        <w:rPr>
          <w:rFonts w:asciiTheme="minorHAnsi" w:hAnsiTheme="minorHAnsi" w:cs="Arial"/>
          <w:sz w:val="20"/>
          <w:szCs w:val="20"/>
        </w:rPr>
        <w:t xml:space="preserve">  </w:t>
      </w:r>
    </w:p>
    <w:p w:rsidR="00640BB7" w:rsidRPr="007F7CB8" w:rsidRDefault="00640BB7" w:rsidP="00640BB7">
      <w:pPr>
        <w:rPr>
          <w:rFonts w:asciiTheme="minorHAnsi" w:hAnsiTheme="minorHAnsi" w:cs="Arial"/>
          <w:sz w:val="20"/>
          <w:szCs w:val="20"/>
        </w:rPr>
      </w:pPr>
    </w:p>
    <w:p w:rsidR="00BB5673" w:rsidRDefault="00BB5673" w:rsidP="00BB5673">
      <w:pPr>
        <w:rPr>
          <w:rFonts w:asciiTheme="minorHAnsi" w:hAnsiTheme="minorHAnsi" w:cs="Arial"/>
          <w:sz w:val="20"/>
          <w:szCs w:val="20"/>
        </w:rPr>
      </w:pPr>
      <w:r>
        <w:rPr>
          <w:rFonts w:asciiTheme="minorHAnsi" w:hAnsiTheme="minorHAnsi" w:cs="Arial"/>
          <w:sz w:val="20"/>
          <w:szCs w:val="20"/>
        </w:rPr>
        <w:t xml:space="preserve">Many larger companies, particularly public companies, already issue non-financial sustainability reports as part of their normal reporting practice.  For example, CorporateRegister.com, an online directory, provides access to sustainability reports issued by approximately 10,000 companies.  </w:t>
      </w:r>
    </w:p>
    <w:p w:rsidR="00BB5673" w:rsidRDefault="00BB5673" w:rsidP="00BB5673">
      <w:pPr>
        <w:rPr>
          <w:rFonts w:asciiTheme="minorHAnsi" w:hAnsiTheme="minorHAnsi" w:cs="Arial"/>
          <w:sz w:val="20"/>
          <w:szCs w:val="20"/>
        </w:rPr>
      </w:pPr>
    </w:p>
    <w:p w:rsidR="00640BB7" w:rsidRPr="007F7CB8" w:rsidRDefault="00040CA1" w:rsidP="00640BB7">
      <w:pPr>
        <w:rPr>
          <w:rFonts w:asciiTheme="minorHAnsi" w:hAnsiTheme="minorHAnsi" w:cs="Arial"/>
          <w:sz w:val="20"/>
          <w:szCs w:val="20"/>
        </w:rPr>
      </w:pPr>
      <w:r w:rsidRPr="00040CA1">
        <w:rPr>
          <w:rFonts w:asciiTheme="minorHAnsi" w:hAnsiTheme="minorHAnsi" w:cs="Arial"/>
          <w:sz w:val="20"/>
          <w:szCs w:val="20"/>
        </w:rPr>
        <w:t>Companies</w:t>
      </w:r>
      <w:r w:rsidR="00065CBD">
        <w:rPr>
          <w:rFonts w:asciiTheme="minorHAnsi" w:hAnsiTheme="minorHAnsi" w:cs="Arial"/>
          <w:sz w:val="20"/>
          <w:szCs w:val="20"/>
        </w:rPr>
        <w:t xml:space="preserve"> must</w:t>
      </w:r>
      <w:r w:rsidRPr="00040CA1">
        <w:rPr>
          <w:rFonts w:asciiTheme="minorHAnsi" w:hAnsiTheme="minorHAnsi" w:cs="Arial"/>
          <w:sz w:val="20"/>
          <w:szCs w:val="20"/>
        </w:rPr>
        <w:t xml:space="preserve"> follow a generally accepted reporting framework for financial reporting. This common framework provides credibility, consistency, and comparability</w:t>
      </w:r>
      <w:r w:rsidR="002E0F12">
        <w:rPr>
          <w:rFonts w:asciiTheme="minorHAnsi" w:hAnsiTheme="minorHAnsi" w:cs="Arial"/>
          <w:sz w:val="20"/>
          <w:szCs w:val="20"/>
        </w:rPr>
        <w:t xml:space="preserve"> (see </w:t>
      </w:r>
      <w:r w:rsidR="00457464" w:rsidRPr="002E0F12">
        <w:rPr>
          <w:rFonts w:asciiTheme="minorHAnsi" w:hAnsiTheme="minorHAnsi" w:cs="Arial"/>
          <w:b/>
          <w:bCs/>
          <w:color w:val="31849B" w:themeColor="accent5" w:themeShade="BF"/>
          <w:sz w:val="20"/>
          <w:szCs w:val="20"/>
        </w:rPr>
        <w:t>Financial Accounts</w:t>
      </w:r>
      <w:r w:rsidR="00457464">
        <w:rPr>
          <w:rFonts w:asciiTheme="minorHAnsi" w:hAnsiTheme="minorHAnsi" w:cs="Arial"/>
          <w:sz w:val="20"/>
          <w:szCs w:val="20"/>
        </w:rPr>
        <w:t>)</w:t>
      </w:r>
      <w:r w:rsidRPr="00040CA1">
        <w:rPr>
          <w:rFonts w:asciiTheme="minorHAnsi" w:hAnsiTheme="minorHAnsi" w:cs="Arial"/>
          <w:sz w:val="20"/>
          <w:szCs w:val="20"/>
        </w:rPr>
        <w:t>.</w:t>
      </w:r>
      <w:r w:rsidR="00457464">
        <w:rPr>
          <w:rFonts w:asciiTheme="minorHAnsi" w:hAnsiTheme="minorHAnsi" w:cs="Arial"/>
          <w:sz w:val="20"/>
          <w:szCs w:val="20"/>
        </w:rPr>
        <w:t xml:space="preserve">  </w:t>
      </w:r>
      <w:r w:rsidRPr="00040CA1">
        <w:rPr>
          <w:rFonts w:asciiTheme="minorHAnsi" w:hAnsiTheme="minorHAnsi" w:cs="Arial"/>
          <w:sz w:val="20"/>
          <w:szCs w:val="20"/>
        </w:rPr>
        <w:t xml:space="preserve">The need for a similar common framework for sustainability reporting led to the development of the Global Reporting Initiative (GRI).  The GRI was launched in 1997 and has become the global voluntary standard in sustainability reporting.   The GRI’s vision is that reporting on economic, environmental and social performance by all organizations is as routine and comparable as financial reporting.  </w:t>
      </w:r>
      <w:r w:rsidR="00065CBD">
        <w:rPr>
          <w:rFonts w:asciiTheme="minorHAnsi" w:hAnsiTheme="minorHAnsi" w:cs="Arial"/>
          <w:sz w:val="20"/>
          <w:szCs w:val="20"/>
        </w:rPr>
        <w:t>The Guidelines and supporting tools provide useful information about how to approach reporting in general, even if a company does not intend to formally report using the GRI.</w:t>
      </w:r>
    </w:p>
    <w:p w:rsidR="00640BB7" w:rsidRPr="007F7CB8" w:rsidRDefault="00640BB7" w:rsidP="00640BB7">
      <w:pPr>
        <w:rPr>
          <w:rFonts w:asciiTheme="minorHAnsi" w:hAnsiTheme="minorHAnsi" w:cs="Arial"/>
          <w:sz w:val="20"/>
          <w:szCs w:val="20"/>
        </w:rPr>
      </w:pPr>
    </w:p>
    <w:p w:rsidR="00640BB7" w:rsidRDefault="00BB5673" w:rsidP="00640BB7">
      <w:pPr>
        <w:rPr>
          <w:rFonts w:asciiTheme="minorHAnsi" w:hAnsiTheme="minorHAnsi" w:cs="Arial"/>
          <w:sz w:val="20"/>
          <w:szCs w:val="20"/>
        </w:rPr>
      </w:pPr>
      <w:r>
        <w:rPr>
          <w:rFonts w:asciiTheme="minorHAnsi" w:hAnsiTheme="minorHAnsi" w:cs="Arial"/>
          <w:sz w:val="20"/>
          <w:szCs w:val="20"/>
        </w:rPr>
        <w:t>R</w:t>
      </w:r>
      <w:r w:rsidR="00040CA1" w:rsidRPr="00040CA1">
        <w:rPr>
          <w:rFonts w:asciiTheme="minorHAnsi" w:hAnsiTheme="minorHAnsi" w:cs="Arial"/>
          <w:sz w:val="20"/>
          <w:szCs w:val="20"/>
        </w:rPr>
        <w:t xml:space="preserve">eporting can benefit from alignment with stakeholder and community engagement processes, to identify relevant issues for data collection and reporting.   Some reports take the opportunity to include third party commentary, such as from stakeholder panels, community groups, unions, non-government organisations or subject-matter experts.  </w:t>
      </w:r>
    </w:p>
    <w:p w:rsidR="005F6A53" w:rsidRDefault="005F6A53" w:rsidP="00640BB7">
      <w:pPr>
        <w:rPr>
          <w:rFonts w:asciiTheme="minorHAnsi" w:hAnsiTheme="minorHAnsi" w:cs="Arial"/>
          <w:sz w:val="20"/>
          <w:szCs w:val="20"/>
        </w:rPr>
      </w:pPr>
    </w:p>
    <w:p w:rsidR="00640BB7" w:rsidRPr="007F7CB8" w:rsidRDefault="00640BB7" w:rsidP="00640BB7">
      <w:pPr>
        <w:rPr>
          <w:rFonts w:asciiTheme="minorHAnsi" w:hAnsiTheme="min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tblPr>
      <w:tblGrid>
        <w:gridCol w:w="8522"/>
      </w:tblGrid>
      <w:tr w:rsidR="00640BB7" w:rsidRPr="007F7CB8" w:rsidTr="00A31DF6">
        <w:tc>
          <w:tcPr>
            <w:tcW w:w="8522" w:type="dxa"/>
            <w:shd w:val="clear" w:color="auto" w:fill="C4BC96" w:themeFill="background2" w:themeFillShade="BF"/>
          </w:tcPr>
          <w:p w:rsidR="00640BB7" w:rsidRPr="007F7CB8" w:rsidRDefault="00040CA1" w:rsidP="00BB5673">
            <w:pPr>
              <w:numPr>
                <w:ilvl w:val="0"/>
                <w:numId w:val="6"/>
              </w:numPr>
              <w:rPr>
                <w:rFonts w:asciiTheme="minorHAnsi" w:hAnsiTheme="minorHAnsi" w:cs="Arial"/>
                <w:b/>
              </w:rPr>
            </w:pPr>
            <w:r w:rsidRPr="00040CA1">
              <w:rPr>
                <w:rFonts w:asciiTheme="minorHAnsi" w:hAnsiTheme="minorHAnsi" w:cs="Arial"/>
                <w:b/>
              </w:rPr>
              <w:t xml:space="preserve">Key </w:t>
            </w:r>
            <w:r w:rsidR="00BB5673">
              <w:rPr>
                <w:rFonts w:asciiTheme="minorHAnsi" w:hAnsiTheme="minorHAnsi" w:cs="Arial"/>
                <w:b/>
              </w:rPr>
              <w:t>initiatives</w:t>
            </w:r>
          </w:p>
        </w:tc>
      </w:tr>
    </w:tbl>
    <w:p w:rsidR="00640BB7" w:rsidRPr="007F7CB8" w:rsidRDefault="00640BB7" w:rsidP="00640BB7">
      <w:pPr>
        <w:rPr>
          <w:rFonts w:asciiTheme="minorHAnsi" w:hAnsiTheme="minorHAnsi" w:cs="Arial"/>
          <w:b/>
        </w:rPr>
      </w:pPr>
    </w:p>
    <w:p w:rsidR="00640BB7" w:rsidRPr="007F7CB8" w:rsidRDefault="00040CA1" w:rsidP="00640BB7">
      <w:pPr>
        <w:rPr>
          <w:rFonts w:asciiTheme="minorHAnsi" w:hAnsiTheme="minorHAnsi" w:cs="Arial"/>
          <w:b/>
          <w:i/>
          <w:sz w:val="20"/>
          <w:szCs w:val="20"/>
        </w:rPr>
      </w:pPr>
      <w:r w:rsidRPr="00040CA1">
        <w:rPr>
          <w:rFonts w:asciiTheme="minorHAnsi" w:hAnsiTheme="minorHAnsi" w:cs="Arial"/>
          <w:b/>
          <w:i/>
          <w:sz w:val="20"/>
          <w:szCs w:val="20"/>
        </w:rPr>
        <w:t xml:space="preserve">International </w:t>
      </w:r>
      <w:r w:rsidR="00BB5673">
        <w:rPr>
          <w:rFonts w:asciiTheme="minorHAnsi" w:hAnsiTheme="minorHAnsi" w:cs="Arial"/>
          <w:b/>
          <w:i/>
          <w:sz w:val="20"/>
          <w:szCs w:val="20"/>
        </w:rPr>
        <w:t>initiatives</w:t>
      </w:r>
    </w:p>
    <w:p w:rsidR="00640BB7" w:rsidRPr="007F7CB8" w:rsidRDefault="00040CA1" w:rsidP="00640BB7">
      <w:pPr>
        <w:pStyle w:val="NormalWeb"/>
        <w:spacing w:before="0" w:beforeAutospacing="0" w:after="0" w:afterAutospacing="0"/>
        <w:rPr>
          <w:rFonts w:asciiTheme="minorHAnsi" w:hAnsiTheme="minorHAnsi" w:cs="Arial"/>
          <w:sz w:val="20"/>
          <w:szCs w:val="20"/>
          <w:lang w:val="en-GB"/>
        </w:rPr>
      </w:pPr>
      <w:r w:rsidRPr="00040CA1">
        <w:rPr>
          <w:rFonts w:asciiTheme="minorHAnsi" w:hAnsiTheme="minorHAnsi" w:cs="Arial"/>
          <w:sz w:val="20"/>
          <w:szCs w:val="20"/>
          <w:lang w:val="en-GB"/>
        </w:rPr>
        <w:t xml:space="preserve">The GRI Reporting Framework contains the core product of the </w:t>
      </w:r>
      <w:hyperlink r:id="rId6" w:tooltip="G3 Guidelines explained" w:history="1">
        <w:r w:rsidRPr="00040CA1">
          <w:rPr>
            <w:rFonts w:asciiTheme="minorHAnsi" w:hAnsiTheme="minorHAnsi" w:cs="Arial"/>
            <w:sz w:val="20"/>
            <w:szCs w:val="20"/>
            <w:lang w:val="en-GB"/>
          </w:rPr>
          <w:t>Sustainability Reporting Guidelines</w:t>
        </w:r>
      </w:hyperlink>
      <w:r w:rsidRPr="00040CA1">
        <w:rPr>
          <w:rFonts w:asciiTheme="minorHAnsi" w:hAnsiTheme="minorHAnsi"/>
        </w:rPr>
        <w:t xml:space="preserve"> </w:t>
      </w:r>
      <w:r w:rsidRPr="00040CA1">
        <w:rPr>
          <w:rFonts w:asciiTheme="minorHAnsi" w:hAnsiTheme="minorHAnsi" w:cs="Arial"/>
          <w:sz w:val="20"/>
          <w:szCs w:val="20"/>
          <w:lang w:val="en-GB"/>
        </w:rPr>
        <w:t>(“the Guidelines”), as well as</w:t>
      </w:r>
      <w:r w:rsidR="00B71F38">
        <w:rPr>
          <w:rFonts w:asciiTheme="minorHAnsi" w:hAnsiTheme="minorHAnsi" w:cs="Arial"/>
          <w:sz w:val="20"/>
          <w:szCs w:val="20"/>
          <w:lang w:val="en-GB"/>
        </w:rPr>
        <w:t xml:space="preserve"> Tools,</w:t>
      </w:r>
      <w:r w:rsidRPr="00040CA1">
        <w:rPr>
          <w:rFonts w:asciiTheme="minorHAnsi" w:hAnsiTheme="minorHAnsi" w:cs="Arial"/>
          <w:sz w:val="20"/>
          <w:szCs w:val="20"/>
          <w:lang w:val="en-GB"/>
        </w:rPr>
        <w:t xml:space="preserve"> </w:t>
      </w:r>
      <w:hyperlink r:id="rId7" w:tooltip="Performance indicators &amp; protocols" w:history="1">
        <w:r w:rsidRPr="00040CA1">
          <w:rPr>
            <w:rFonts w:asciiTheme="minorHAnsi" w:hAnsiTheme="minorHAnsi" w:cs="Arial"/>
            <w:sz w:val="20"/>
            <w:szCs w:val="20"/>
            <w:lang w:val="en-GB"/>
          </w:rPr>
          <w:t>Protocols</w:t>
        </w:r>
      </w:hyperlink>
      <w:r w:rsidRPr="00040CA1">
        <w:rPr>
          <w:rFonts w:asciiTheme="minorHAnsi" w:hAnsiTheme="minorHAnsi" w:cs="Arial"/>
          <w:sz w:val="20"/>
          <w:szCs w:val="20"/>
          <w:lang w:val="en-GB"/>
        </w:rPr>
        <w:t xml:space="preserve"> and </w:t>
      </w:r>
      <w:hyperlink r:id="rId8" w:tooltip="Sector Supplements" w:history="1">
        <w:r w:rsidRPr="00040CA1">
          <w:rPr>
            <w:rFonts w:asciiTheme="minorHAnsi" w:hAnsiTheme="minorHAnsi" w:cs="Arial"/>
            <w:sz w:val="20"/>
            <w:szCs w:val="20"/>
            <w:lang w:val="en-GB"/>
          </w:rPr>
          <w:t>Sector Supplements.</w:t>
        </w:r>
      </w:hyperlink>
      <w:r w:rsidRPr="00040CA1">
        <w:rPr>
          <w:rFonts w:asciiTheme="minorHAnsi" w:hAnsiTheme="minorHAnsi" w:cs="Arial"/>
          <w:sz w:val="20"/>
          <w:szCs w:val="20"/>
          <w:lang w:val="en-GB"/>
        </w:rPr>
        <w:t xml:space="preserve"> The Guidelines contain principles and guidance as well as standard disclosures – including indicators – to outline a disclosure framework that organizations can voluntarily, flexibly, and incrementally, adopt.</w:t>
      </w:r>
    </w:p>
    <w:p w:rsidR="00640BB7" w:rsidRPr="007F7CB8" w:rsidRDefault="00640BB7" w:rsidP="00640BB7">
      <w:pPr>
        <w:pStyle w:val="NormalWeb"/>
        <w:spacing w:before="0" w:beforeAutospacing="0" w:after="0" w:afterAutospacing="0"/>
        <w:rPr>
          <w:rFonts w:asciiTheme="minorHAnsi" w:hAnsiTheme="minorHAnsi" w:cs="Arial"/>
          <w:sz w:val="20"/>
          <w:szCs w:val="20"/>
          <w:lang w:val="en-GB"/>
        </w:rPr>
      </w:pPr>
    </w:p>
    <w:p w:rsidR="00700AEA" w:rsidRPr="00700AEA" w:rsidRDefault="00040CA1" w:rsidP="00700AEA">
      <w:pPr>
        <w:autoSpaceDE w:val="0"/>
        <w:autoSpaceDN w:val="0"/>
        <w:adjustRightInd w:val="0"/>
        <w:rPr>
          <w:rFonts w:asciiTheme="minorHAnsi" w:eastAsiaTheme="minorHAnsi" w:hAnsiTheme="minorHAnsi" w:cs="MyriadPro-Regular"/>
          <w:color w:val="000000"/>
          <w:sz w:val="20"/>
          <w:szCs w:val="20"/>
          <w:lang w:val="en-US" w:eastAsia="en-US"/>
        </w:rPr>
      </w:pPr>
      <w:r w:rsidRPr="00040CA1">
        <w:rPr>
          <w:rFonts w:asciiTheme="minorHAnsi" w:hAnsiTheme="minorHAnsi" w:cs="Arial"/>
          <w:sz w:val="20"/>
          <w:szCs w:val="20"/>
        </w:rPr>
        <w:t>The Mining and Metals Sector Supplement</w:t>
      </w:r>
      <w:r w:rsidR="00A07650">
        <w:rPr>
          <w:rFonts w:asciiTheme="minorHAnsi" w:hAnsiTheme="minorHAnsi" w:cs="Arial"/>
          <w:sz w:val="20"/>
          <w:szCs w:val="20"/>
        </w:rPr>
        <w:t>, which was released in 2010,</w:t>
      </w:r>
      <w:r w:rsidRPr="00040CA1">
        <w:rPr>
          <w:rFonts w:asciiTheme="minorHAnsi" w:hAnsiTheme="minorHAnsi" w:cs="Arial"/>
          <w:sz w:val="20"/>
          <w:szCs w:val="20"/>
        </w:rPr>
        <w:t xml:space="preserve"> </w:t>
      </w:r>
      <w:r w:rsidR="00A07650">
        <w:rPr>
          <w:rFonts w:asciiTheme="minorHAnsi" w:hAnsiTheme="minorHAnsi" w:cs="Arial"/>
          <w:sz w:val="20"/>
          <w:szCs w:val="20"/>
        </w:rPr>
        <w:t xml:space="preserve">complements the Guidelines and includes supplementary reporting tools specific to the mining and metals sector.  </w:t>
      </w:r>
      <w:r w:rsidR="00700AEA" w:rsidRPr="00700AEA">
        <w:rPr>
          <w:rFonts w:asciiTheme="minorHAnsi" w:eastAsiaTheme="minorHAnsi" w:hAnsiTheme="minorHAnsi" w:cs="MyriadPro-Regular"/>
          <w:sz w:val="20"/>
          <w:szCs w:val="20"/>
          <w:lang w:val="en-US" w:eastAsia="en-US"/>
        </w:rPr>
        <w:t xml:space="preserve"> Th</w:t>
      </w:r>
      <w:r w:rsidR="00700AEA">
        <w:rPr>
          <w:rFonts w:asciiTheme="minorHAnsi" w:eastAsiaTheme="minorHAnsi" w:hAnsiTheme="minorHAnsi" w:cs="MyriadPro-Regular"/>
          <w:sz w:val="20"/>
          <w:szCs w:val="20"/>
          <w:lang w:val="en-US" w:eastAsia="en-US"/>
        </w:rPr>
        <w:t>e</w:t>
      </w:r>
      <w:r w:rsidR="00700AEA" w:rsidRPr="00700AEA">
        <w:rPr>
          <w:rFonts w:asciiTheme="minorHAnsi" w:eastAsiaTheme="minorHAnsi" w:hAnsiTheme="minorHAnsi" w:cs="MyriadPro-Regular"/>
          <w:sz w:val="20"/>
          <w:szCs w:val="20"/>
          <w:lang w:val="en-US" w:eastAsia="en-US"/>
        </w:rPr>
        <w:t xml:space="preserve"> Supplement deals with </w:t>
      </w:r>
      <w:r w:rsidR="00700AEA" w:rsidRPr="00700AEA">
        <w:rPr>
          <w:rFonts w:asciiTheme="minorHAnsi" w:eastAsiaTheme="minorHAnsi" w:hAnsiTheme="minorHAnsi" w:cs="MyriadPro-Regular"/>
          <w:sz w:val="20"/>
          <w:szCs w:val="20"/>
          <w:lang w:val="en-US" w:eastAsia="en-US"/>
        </w:rPr>
        <w:lastRenderedPageBreak/>
        <w:t xml:space="preserve">the aspects of sustainable development that characterize the mining </w:t>
      </w:r>
      <w:r w:rsidR="00700AEA">
        <w:rPr>
          <w:rFonts w:asciiTheme="minorHAnsi" w:eastAsiaTheme="minorHAnsi" w:hAnsiTheme="minorHAnsi" w:cs="MyriadPro-Regular"/>
          <w:sz w:val="20"/>
          <w:szCs w:val="20"/>
          <w:lang w:val="en-US" w:eastAsia="en-US"/>
        </w:rPr>
        <w:t>and metals sector. T</w:t>
      </w:r>
      <w:r w:rsidR="00700AEA" w:rsidRPr="00700AEA">
        <w:rPr>
          <w:rFonts w:asciiTheme="minorHAnsi" w:eastAsiaTheme="minorHAnsi" w:hAnsiTheme="minorHAnsi" w:cs="MyriadPro-Regular"/>
          <w:sz w:val="20"/>
          <w:szCs w:val="20"/>
          <w:lang w:val="en-US" w:eastAsia="en-US"/>
        </w:rPr>
        <w:t>he main issues</w:t>
      </w:r>
      <w:r w:rsidR="00700AEA">
        <w:rPr>
          <w:rFonts w:asciiTheme="minorHAnsi" w:eastAsiaTheme="minorHAnsi" w:hAnsiTheme="minorHAnsi" w:cs="MyriadPro-Regular"/>
          <w:sz w:val="20"/>
          <w:szCs w:val="20"/>
          <w:lang w:val="en-US" w:eastAsia="en-US"/>
        </w:rPr>
        <w:t xml:space="preserve"> that set the context for the Supplement</w:t>
      </w:r>
      <w:r w:rsidR="00700AEA" w:rsidRPr="00700AEA">
        <w:rPr>
          <w:rFonts w:asciiTheme="minorHAnsi" w:eastAsiaTheme="minorHAnsi" w:hAnsiTheme="minorHAnsi" w:cs="MyriadPro-Regular"/>
          <w:sz w:val="20"/>
          <w:szCs w:val="20"/>
          <w:lang w:val="en-US" w:eastAsia="en-US"/>
        </w:rPr>
        <w:t xml:space="preserve"> include</w:t>
      </w:r>
      <w:r w:rsidR="00700AEA">
        <w:rPr>
          <w:rFonts w:asciiTheme="minorHAnsi" w:eastAsiaTheme="minorHAnsi" w:hAnsiTheme="minorHAnsi" w:cs="MyriadPro-Regular"/>
          <w:sz w:val="20"/>
          <w:szCs w:val="20"/>
          <w:lang w:val="en-US" w:eastAsia="en-US"/>
        </w:rPr>
        <w:t>:</w:t>
      </w:r>
    </w:p>
    <w:p w:rsidR="00040CA1" w:rsidRPr="00040CA1" w:rsidRDefault="00040CA1" w:rsidP="00040CA1">
      <w:pPr>
        <w:autoSpaceDE w:val="0"/>
        <w:autoSpaceDN w:val="0"/>
        <w:adjustRightInd w:val="0"/>
        <w:ind w:left="720"/>
        <w:rPr>
          <w:rFonts w:asciiTheme="minorHAnsi" w:eastAsiaTheme="minorHAnsi" w:hAnsiTheme="minorHAnsi" w:cs="MyriadPro-Regular"/>
          <w:color w:val="000000"/>
          <w:sz w:val="20"/>
          <w:szCs w:val="20"/>
          <w:lang w:val="en-US" w:eastAsia="en-US"/>
        </w:rPr>
      </w:pPr>
      <w:r w:rsidRPr="00040CA1">
        <w:rPr>
          <w:rFonts w:asciiTheme="minorHAnsi" w:eastAsiaTheme="minorHAnsi" w:hAnsiTheme="minorHAnsi" w:cs="MyriadPro-Regular"/>
          <w:color w:val="C6361C"/>
          <w:sz w:val="20"/>
          <w:szCs w:val="20"/>
          <w:lang w:val="en-US" w:eastAsia="en-US"/>
        </w:rPr>
        <w:t xml:space="preserve">• </w:t>
      </w:r>
      <w:r w:rsidRPr="00040CA1">
        <w:rPr>
          <w:rFonts w:asciiTheme="minorHAnsi" w:eastAsiaTheme="minorHAnsi" w:hAnsiTheme="minorHAnsi" w:cs="MyriadPro-Regular"/>
          <w:color w:val="000000"/>
          <w:sz w:val="20"/>
          <w:szCs w:val="20"/>
          <w:lang w:val="en-US" w:eastAsia="en-US"/>
        </w:rPr>
        <w:t>The control, use, and management of land</w:t>
      </w:r>
    </w:p>
    <w:p w:rsidR="00040CA1" w:rsidRPr="00040CA1" w:rsidRDefault="00040CA1" w:rsidP="00040CA1">
      <w:pPr>
        <w:autoSpaceDE w:val="0"/>
        <w:autoSpaceDN w:val="0"/>
        <w:adjustRightInd w:val="0"/>
        <w:ind w:left="720"/>
        <w:rPr>
          <w:rFonts w:asciiTheme="minorHAnsi" w:eastAsiaTheme="minorHAnsi" w:hAnsiTheme="minorHAnsi" w:cs="MyriadPro-Regular"/>
          <w:color w:val="000000"/>
          <w:sz w:val="20"/>
          <w:szCs w:val="20"/>
          <w:lang w:val="en-US" w:eastAsia="en-US"/>
        </w:rPr>
      </w:pPr>
      <w:r w:rsidRPr="00040CA1">
        <w:rPr>
          <w:rFonts w:asciiTheme="minorHAnsi" w:eastAsiaTheme="minorHAnsi" w:hAnsiTheme="minorHAnsi" w:cs="MyriadPro-Regular"/>
          <w:color w:val="C6361C"/>
          <w:sz w:val="20"/>
          <w:szCs w:val="20"/>
          <w:lang w:val="en-US" w:eastAsia="en-US"/>
        </w:rPr>
        <w:t xml:space="preserve">• </w:t>
      </w:r>
      <w:r w:rsidRPr="00040CA1">
        <w:rPr>
          <w:rFonts w:asciiTheme="minorHAnsi" w:eastAsiaTheme="minorHAnsi" w:hAnsiTheme="minorHAnsi" w:cs="MyriadPro-Regular"/>
          <w:color w:val="000000"/>
          <w:sz w:val="20"/>
          <w:szCs w:val="20"/>
          <w:lang w:val="en-US" w:eastAsia="en-US"/>
        </w:rPr>
        <w:t>The contribution to national economic and social</w:t>
      </w:r>
      <w:r w:rsidR="00700AEA">
        <w:rPr>
          <w:rFonts w:asciiTheme="minorHAnsi" w:eastAsiaTheme="minorHAnsi" w:hAnsiTheme="minorHAnsi" w:cs="MyriadPro-Regular"/>
          <w:color w:val="000000"/>
          <w:sz w:val="20"/>
          <w:szCs w:val="20"/>
          <w:lang w:val="en-US" w:eastAsia="en-US"/>
        </w:rPr>
        <w:t xml:space="preserve"> </w:t>
      </w:r>
      <w:r w:rsidRPr="00040CA1">
        <w:rPr>
          <w:rFonts w:asciiTheme="minorHAnsi" w:eastAsiaTheme="minorHAnsi" w:hAnsiTheme="minorHAnsi" w:cs="MyriadPro-Regular"/>
          <w:color w:val="000000"/>
          <w:sz w:val="20"/>
          <w:szCs w:val="20"/>
          <w:lang w:val="en-US" w:eastAsia="en-US"/>
        </w:rPr>
        <w:t>development</w:t>
      </w:r>
    </w:p>
    <w:p w:rsidR="00040CA1" w:rsidRPr="00040CA1" w:rsidRDefault="00040CA1" w:rsidP="00040CA1">
      <w:pPr>
        <w:autoSpaceDE w:val="0"/>
        <w:autoSpaceDN w:val="0"/>
        <w:adjustRightInd w:val="0"/>
        <w:ind w:left="720"/>
        <w:rPr>
          <w:rFonts w:asciiTheme="minorHAnsi" w:eastAsiaTheme="minorHAnsi" w:hAnsiTheme="minorHAnsi" w:cs="MyriadPro-Regular"/>
          <w:color w:val="000000"/>
          <w:sz w:val="20"/>
          <w:szCs w:val="20"/>
          <w:lang w:val="en-US" w:eastAsia="en-US"/>
        </w:rPr>
      </w:pPr>
      <w:r w:rsidRPr="00040CA1">
        <w:rPr>
          <w:rFonts w:asciiTheme="minorHAnsi" w:eastAsiaTheme="minorHAnsi" w:hAnsiTheme="minorHAnsi" w:cs="MyriadPro-Regular"/>
          <w:color w:val="C6361C"/>
          <w:sz w:val="20"/>
          <w:szCs w:val="20"/>
          <w:lang w:val="en-US" w:eastAsia="en-US"/>
        </w:rPr>
        <w:t xml:space="preserve">• </w:t>
      </w:r>
      <w:r w:rsidRPr="00040CA1">
        <w:rPr>
          <w:rFonts w:asciiTheme="minorHAnsi" w:eastAsiaTheme="minorHAnsi" w:hAnsiTheme="minorHAnsi" w:cs="MyriadPro-Regular"/>
          <w:color w:val="000000"/>
          <w:sz w:val="20"/>
          <w:szCs w:val="20"/>
          <w:lang w:val="en-US" w:eastAsia="en-US"/>
        </w:rPr>
        <w:t>Community and stakeholder engagement</w:t>
      </w:r>
    </w:p>
    <w:p w:rsidR="00040CA1" w:rsidRPr="00040CA1" w:rsidRDefault="00040CA1" w:rsidP="00040CA1">
      <w:pPr>
        <w:autoSpaceDE w:val="0"/>
        <w:autoSpaceDN w:val="0"/>
        <w:adjustRightInd w:val="0"/>
        <w:ind w:left="720"/>
        <w:rPr>
          <w:rFonts w:asciiTheme="minorHAnsi" w:eastAsiaTheme="minorHAnsi" w:hAnsiTheme="minorHAnsi" w:cs="MyriadPro-Regular"/>
          <w:color w:val="000000"/>
          <w:sz w:val="20"/>
          <w:szCs w:val="20"/>
          <w:lang w:val="en-US" w:eastAsia="en-US"/>
        </w:rPr>
      </w:pPr>
      <w:r w:rsidRPr="00040CA1">
        <w:rPr>
          <w:rFonts w:asciiTheme="minorHAnsi" w:eastAsiaTheme="minorHAnsi" w:hAnsiTheme="minorHAnsi" w:cs="MyriadPro-Regular"/>
          <w:color w:val="C6361C"/>
          <w:sz w:val="20"/>
          <w:szCs w:val="20"/>
          <w:lang w:val="en-US" w:eastAsia="en-US"/>
        </w:rPr>
        <w:t xml:space="preserve">• </w:t>
      </w:r>
      <w:r w:rsidRPr="0076023A">
        <w:rPr>
          <w:rFonts w:asciiTheme="minorHAnsi" w:eastAsiaTheme="minorHAnsi" w:hAnsiTheme="minorHAnsi" w:cs="MyriadPro-Regular"/>
          <w:color w:val="000000"/>
          <w:sz w:val="20"/>
          <w:szCs w:val="20"/>
          <w:lang w:eastAsia="en-US"/>
        </w:rPr>
        <w:t>Labo</w:t>
      </w:r>
      <w:r w:rsidR="0076023A" w:rsidRPr="0076023A">
        <w:rPr>
          <w:rFonts w:asciiTheme="minorHAnsi" w:eastAsiaTheme="minorHAnsi" w:hAnsiTheme="minorHAnsi" w:cs="MyriadPro-Regular"/>
          <w:color w:val="000000"/>
          <w:sz w:val="20"/>
          <w:szCs w:val="20"/>
          <w:lang w:eastAsia="en-US"/>
        </w:rPr>
        <w:t>u</w:t>
      </w:r>
      <w:r w:rsidRPr="0076023A">
        <w:rPr>
          <w:rFonts w:asciiTheme="minorHAnsi" w:eastAsiaTheme="minorHAnsi" w:hAnsiTheme="minorHAnsi" w:cs="MyriadPro-Regular"/>
          <w:color w:val="000000"/>
          <w:sz w:val="20"/>
          <w:szCs w:val="20"/>
          <w:lang w:eastAsia="en-US"/>
        </w:rPr>
        <w:t>r</w:t>
      </w:r>
      <w:r w:rsidRPr="00040CA1">
        <w:rPr>
          <w:rFonts w:asciiTheme="minorHAnsi" w:eastAsiaTheme="minorHAnsi" w:hAnsiTheme="minorHAnsi" w:cs="MyriadPro-Regular"/>
          <w:color w:val="000000"/>
          <w:sz w:val="20"/>
          <w:szCs w:val="20"/>
          <w:lang w:val="en-US" w:eastAsia="en-US"/>
        </w:rPr>
        <w:t xml:space="preserve"> relations</w:t>
      </w:r>
    </w:p>
    <w:p w:rsidR="00040CA1" w:rsidRPr="00040CA1" w:rsidRDefault="00040CA1" w:rsidP="00040CA1">
      <w:pPr>
        <w:autoSpaceDE w:val="0"/>
        <w:autoSpaceDN w:val="0"/>
        <w:adjustRightInd w:val="0"/>
        <w:ind w:left="720"/>
        <w:rPr>
          <w:rFonts w:asciiTheme="minorHAnsi" w:eastAsiaTheme="minorHAnsi" w:hAnsiTheme="minorHAnsi" w:cs="MyriadPro-Regular"/>
          <w:color w:val="000000"/>
          <w:sz w:val="20"/>
          <w:szCs w:val="20"/>
          <w:lang w:val="en-US" w:eastAsia="en-US"/>
        </w:rPr>
      </w:pPr>
      <w:r w:rsidRPr="00040CA1">
        <w:rPr>
          <w:rFonts w:asciiTheme="minorHAnsi" w:eastAsiaTheme="minorHAnsi" w:hAnsiTheme="minorHAnsi" w:cs="MyriadPro-Regular"/>
          <w:color w:val="C6361C"/>
          <w:sz w:val="20"/>
          <w:szCs w:val="20"/>
          <w:lang w:val="en-US" w:eastAsia="en-US"/>
        </w:rPr>
        <w:t xml:space="preserve">• </w:t>
      </w:r>
      <w:r w:rsidRPr="00040CA1">
        <w:rPr>
          <w:rFonts w:asciiTheme="minorHAnsi" w:eastAsiaTheme="minorHAnsi" w:hAnsiTheme="minorHAnsi" w:cs="MyriadPro-Regular"/>
          <w:color w:val="000000"/>
          <w:sz w:val="20"/>
          <w:szCs w:val="20"/>
          <w:lang w:val="en-US" w:eastAsia="en-US"/>
        </w:rPr>
        <w:t>Environmental management</w:t>
      </w:r>
    </w:p>
    <w:p w:rsidR="00040CA1" w:rsidRPr="00040CA1" w:rsidRDefault="00040CA1" w:rsidP="00040CA1">
      <w:pPr>
        <w:autoSpaceDE w:val="0"/>
        <w:autoSpaceDN w:val="0"/>
        <w:adjustRightInd w:val="0"/>
        <w:ind w:left="720"/>
        <w:rPr>
          <w:rFonts w:asciiTheme="minorHAnsi" w:eastAsiaTheme="minorHAnsi" w:hAnsiTheme="minorHAnsi" w:cs="MyriadPro-Regular"/>
          <w:color w:val="000000"/>
          <w:sz w:val="20"/>
          <w:szCs w:val="20"/>
          <w:lang w:val="en-US" w:eastAsia="en-US"/>
        </w:rPr>
      </w:pPr>
      <w:r w:rsidRPr="00040CA1">
        <w:rPr>
          <w:rFonts w:asciiTheme="minorHAnsi" w:eastAsiaTheme="minorHAnsi" w:hAnsiTheme="minorHAnsi" w:cs="MyriadPro-Regular"/>
          <w:color w:val="C6361C"/>
          <w:sz w:val="20"/>
          <w:szCs w:val="20"/>
          <w:lang w:val="en-US" w:eastAsia="en-US"/>
        </w:rPr>
        <w:t xml:space="preserve">• </w:t>
      </w:r>
      <w:r w:rsidRPr="00040CA1">
        <w:rPr>
          <w:rFonts w:asciiTheme="minorHAnsi" w:eastAsiaTheme="minorHAnsi" w:hAnsiTheme="minorHAnsi" w:cs="MyriadPro-Regular"/>
          <w:color w:val="000000"/>
          <w:sz w:val="20"/>
          <w:szCs w:val="20"/>
          <w:lang w:val="en-US" w:eastAsia="en-US"/>
        </w:rPr>
        <w:t>Relationships with artisanal and small-scale mining</w:t>
      </w:r>
    </w:p>
    <w:p w:rsidR="00040CA1" w:rsidRPr="00040CA1" w:rsidRDefault="00040CA1" w:rsidP="00040CA1">
      <w:pPr>
        <w:autoSpaceDE w:val="0"/>
        <w:autoSpaceDN w:val="0"/>
        <w:adjustRightInd w:val="0"/>
        <w:ind w:left="720"/>
        <w:rPr>
          <w:rFonts w:asciiTheme="minorHAnsi" w:eastAsiaTheme="minorHAnsi" w:hAnsiTheme="minorHAnsi" w:cs="MyriadPro-Regular"/>
          <w:sz w:val="20"/>
          <w:szCs w:val="20"/>
          <w:lang w:val="en-US" w:eastAsia="en-US"/>
        </w:rPr>
      </w:pPr>
      <w:r w:rsidRPr="00040CA1">
        <w:rPr>
          <w:rFonts w:asciiTheme="minorHAnsi" w:eastAsiaTheme="minorHAnsi" w:hAnsiTheme="minorHAnsi" w:cs="MyriadPro-Regular"/>
          <w:color w:val="C6361C"/>
          <w:sz w:val="20"/>
          <w:szCs w:val="20"/>
          <w:lang w:val="en-US" w:eastAsia="en-US"/>
        </w:rPr>
        <w:t xml:space="preserve">• </w:t>
      </w:r>
      <w:r w:rsidRPr="00040CA1">
        <w:rPr>
          <w:rFonts w:asciiTheme="minorHAnsi" w:eastAsiaTheme="minorHAnsi" w:hAnsiTheme="minorHAnsi" w:cs="MyriadPro-Regular"/>
          <w:color w:val="000000"/>
          <w:sz w:val="20"/>
          <w:szCs w:val="20"/>
          <w:lang w:val="en-US" w:eastAsia="en-US"/>
        </w:rPr>
        <w:t>An integrated approach to minerals use</w:t>
      </w:r>
    </w:p>
    <w:p w:rsidR="00640BB7" w:rsidRPr="007F7CB8" w:rsidRDefault="00640BB7" w:rsidP="00640BB7">
      <w:pPr>
        <w:pStyle w:val="NormalWeb"/>
        <w:spacing w:before="0" w:beforeAutospacing="0" w:after="0" w:afterAutospacing="0"/>
        <w:rPr>
          <w:rFonts w:asciiTheme="minorHAnsi" w:hAnsiTheme="minorHAnsi" w:cs="Arial"/>
          <w:sz w:val="20"/>
          <w:szCs w:val="20"/>
          <w:lang w:val="en-GB"/>
        </w:rPr>
      </w:pPr>
    </w:p>
    <w:p w:rsidR="00640BB7" w:rsidRPr="007F7CB8" w:rsidRDefault="00040CA1" w:rsidP="00640BB7">
      <w:pPr>
        <w:pStyle w:val="NormalWeb"/>
        <w:spacing w:before="0" w:beforeAutospacing="0" w:after="0" w:afterAutospacing="0"/>
        <w:rPr>
          <w:rFonts w:asciiTheme="minorHAnsi" w:hAnsiTheme="minorHAnsi" w:cs="Arial"/>
          <w:sz w:val="20"/>
          <w:szCs w:val="20"/>
          <w:lang w:val="en-GB"/>
        </w:rPr>
      </w:pPr>
      <w:bookmarkStart w:id="0" w:name="2"/>
      <w:bookmarkStart w:id="1" w:name="3"/>
      <w:bookmarkStart w:id="2" w:name="4"/>
      <w:bookmarkStart w:id="3" w:name="10"/>
      <w:bookmarkStart w:id="4" w:name="19"/>
      <w:bookmarkStart w:id="5" w:name="5"/>
      <w:bookmarkStart w:id="6" w:name="6"/>
      <w:bookmarkStart w:id="7" w:name="12"/>
      <w:bookmarkStart w:id="8" w:name="13"/>
      <w:bookmarkStart w:id="9" w:name="14"/>
      <w:bookmarkStart w:id="10" w:name="15"/>
      <w:bookmarkStart w:id="11" w:name="16"/>
      <w:bookmarkStart w:id="12" w:name="17"/>
      <w:bookmarkStart w:id="13" w:name="20"/>
      <w:bookmarkStart w:id="14" w:name="21"/>
      <w:r w:rsidRPr="00040CA1">
        <w:rPr>
          <w:rFonts w:asciiTheme="minorHAnsi" w:hAnsiTheme="minorHAnsi" w:cs="Arial"/>
          <w:sz w:val="20"/>
          <w:szCs w:val="20"/>
          <w:lang w:val="en-GB"/>
        </w:rPr>
        <w:t xml:space="preserve">The GRI “Application Levels” rate the extent to which the G3 Guidelines have been utilised in a report on sustainability.  They are intended to provide GRI reporters with a pathway in which they can continuously improve their reporting.  There are three Application Levels: A, B and C.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040CA1">
        <w:rPr>
          <w:rFonts w:asciiTheme="minorHAnsi" w:hAnsiTheme="minorHAnsi" w:cs="Arial"/>
          <w:sz w:val="20"/>
          <w:szCs w:val="20"/>
          <w:lang w:val="en-GB"/>
        </w:rPr>
        <w:t>All GRI-aligned reports should include an Application Level.</w:t>
      </w:r>
    </w:p>
    <w:p w:rsidR="00640BB7" w:rsidRPr="007F7CB8" w:rsidRDefault="00640BB7" w:rsidP="00640BB7">
      <w:pPr>
        <w:pStyle w:val="NormalWeb"/>
        <w:spacing w:before="0" w:beforeAutospacing="0" w:after="0" w:afterAutospacing="0"/>
        <w:rPr>
          <w:rFonts w:asciiTheme="minorHAnsi" w:hAnsiTheme="minorHAnsi" w:cs="Arial"/>
          <w:sz w:val="20"/>
          <w:szCs w:val="20"/>
          <w:lang w:val="en-GB"/>
        </w:rPr>
      </w:pPr>
    </w:p>
    <w:p w:rsidR="00640BB7" w:rsidRPr="007F7CB8" w:rsidRDefault="00040CA1" w:rsidP="00640BB7">
      <w:pPr>
        <w:pStyle w:val="NormalWeb"/>
        <w:spacing w:before="0" w:beforeAutospacing="0" w:after="0" w:afterAutospacing="0"/>
        <w:rPr>
          <w:rFonts w:asciiTheme="minorHAnsi" w:hAnsiTheme="minorHAnsi" w:cs="Arial"/>
          <w:sz w:val="20"/>
          <w:szCs w:val="20"/>
          <w:lang w:val="en-GB"/>
        </w:rPr>
      </w:pPr>
      <w:r w:rsidRPr="00040CA1">
        <w:rPr>
          <w:rFonts w:asciiTheme="minorHAnsi" w:hAnsiTheme="minorHAnsi" w:cs="Arial"/>
          <w:sz w:val="20"/>
          <w:szCs w:val="20"/>
        </w:rPr>
        <w:t xml:space="preserve">External assurance focuses on verifying the content of the report and is designated with a “+” after the Application Level </w:t>
      </w:r>
      <w:proofErr w:type="spellStart"/>
      <w:r w:rsidRPr="00040CA1">
        <w:rPr>
          <w:rFonts w:asciiTheme="minorHAnsi" w:hAnsiTheme="minorHAnsi" w:cs="Arial"/>
          <w:sz w:val="20"/>
          <w:szCs w:val="20"/>
        </w:rPr>
        <w:t>ie</w:t>
      </w:r>
      <w:proofErr w:type="spellEnd"/>
      <w:r w:rsidRPr="00040CA1">
        <w:rPr>
          <w:rFonts w:asciiTheme="minorHAnsi" w:hAnsiTheme="minorHAnsi" w:cs="Arial"/>
          <w:sz w:val="20"/>
          <w:szCs w:val="20"/>
        </w:rPr>
        <w:t xml:space="preserve"> C+, B+ and A+.  </w:t>
      </w:r>
      <w:r w:rsidRPr="00040CA1">
        <w:rPr>
          <w:rFonts w:asciiTheme="minorHAnsi" w:hAnsiTheme="minorHAnsi" w:cs="Arial"/>
          <w:sz w:val="20"/>
          <w:szCs w:val="20"/>
          <w:lang w:val="en-GB"/>
        </w:rPr>
        <w:t>External assurance mechanisms must comply with the following key qualities, defined by the GRI:</w:t>
      </w:r>
    </w:p>
    <w:p w:rsidR="00640BB7" w:rsidRPr="007F7CB8" w:rsidRDefault="00040CA1" w:rsidP="00640BB7">
      <w:pPr>
        <w:pStyle w:val="NormalWeb"/>
        <w:numPr>
          <w:ilvl w:val="0"/>
          <w:numId w:val="3"/>
        </w:numPr>
        <w:spacing w:before="0" w:beforeAutospacing="0" w:after="0" w:afterAutospacing="0"/>
        <w:rPr>
          <w:rFonts w:asciiTheme="minorHAnsi" w:hAnsiTheme="minorHAnsi" w:cs="Arial"/>
          <w:sz w:val="20"/>
          <w:szCs w:val="20"/>
          <w:lang w:val="en-GB"/>
        </w:rPr>
      </w:pPr>
      <w:r w:rsidRPr="00040CA1">
        <w:rPr>
          <w:rFonts w:asciiTheme="minorHAnsi" w:hAnsiTheme="minorHAnsi" w:cs="Arial"/>
          <w:sz w:val="20"/>
          <w:szCs w:val="20"/>
          <w:lang w:val="en-GB"/>
        </w:rPr>
        <w:t xml:space="preserve">Conducted by groups or individuals external to the organization who are demonstrably competent in both the subject matter and assurance practices; </w:t>
      </w:r>
    </w:p>
    <w:p w:rsidR="00640BB7" w:rsidRPr="007F7CB8" w:rsidRDefault="00040CA1" w:rsidP="00640BB7">
      <w:pPr>
        <w:pStyle w:val="NormalWeb"/>
        <w:numPr>
          <w:ilvl w:val="0"/>
          <w:numId w:val="3"/>
        </w:numPr>
        <w:spacing w:before="0" w:beforeAutospacing="0" w:after="0" w:afterAutospacing="0"/>
        <w:rPr>
          <w:rFonts w:asciiTheme="minorHAnsi" w:hAnsiTheme="minorHAnsi" w:cs="Arial"/>
          <w:sz w:val="20"/>
          <w:szCs w:val="20"/>
          <w:lang w:val="en-GB"/>
        </w:rPr>
      </w:pPr>
      <w:r w:rsidRPr="00040CA1">
        <w:rPr>
          <w:rFonts w:asciiTheme="minorHAnsi" w:hAnsiTheme="minorHAnsi" w:cs="Arial"/>
          <w:sz w:val="20"/>
          <w:szCs w:val="20"/>
          <w:lang w:val="en-GB"/>
        </w:rPr>
        <w:t>Implemented in a manner that is systematic, documented, evidence-based, and characterized by defined procedures;</w:t>
      </w:r>
    </w:p>
    <w:p w:rsidR="00640BB7" w:rsidRPr="007F7CB8" w:rsidRDefault="00040CA1" w:rsidP="00640BB7">
      <w:pPr>
        <w:pStyle w:val="NormalWeb"/>
        <w:numPr>
          <w:ilvl w:val="0"/>
          <w:numId w:val="3"/>
        </w:numPr>
        <w:spacing w:before="0" w:beforeAutospacing="0" w:after="0" w:afterAutospacing="0"/>
        <w:rPr>
          <w:rFonts w:asciiTheme="minorHAnsi" w:hAnsiTheme="minorHAnsi" w:cs="Arial"/>
          <w:sz w:val="20"/>
          <w:szCs w:val="20"/>
          <w:lang w:val="en-GB"/>
        </w:rPr>
      </w:pPr>
      <w:r w:rsidRPr="00040CA1">
        <w:rPr>
          <w:rFonts w:asciiTheme="minorHAnsi" w:hAnsiTheme="minorHAnsi" w:cs="Arial"/>
          <w:sz w:val="20"/>
          <w:szCs w:val="20"/>
          <w:lang w:val="en-GB"/>
        </w:rPr>
        <w:t>Assesses whether the report provides a reasonable and balanced presentation of performance, taking into consideration the veracity of data in a report as well as the overall selection of content;</w:t>
      </w:r>
    </w:p>
    <w:p w:rsidR="00640BB7" w:rsidRPr="007F7CB8" w:rsidRDefault="00040CA1" w:rsidP="00640BB7">
      <w:pPr>
        <w:pStyle w:val="NormalWeb"/>
        <w:numPr>
          <w:ilvl w:val="0"/>
          <w:numId w:val="3"/>
        </w:numPr>
        <w:spacing w:before="0" w:beforeAutospacing="0" w:after="0" w:afterAutospacing="0"/>
        <w:rPr>
          <w:rFonts w:asciiTheme="minorHAnsi" w:hAnsiTheme="minorHAnsi" w:cs="Arial"/>
          <w:sz w:val="20"/>
          <w:szCs w:val="20"/>
          <w:lang w:val="en-GB"/>
        </w:rPr>
      </w:pPr>
      <w:r w:rsidRPr="00040CA1">
        <w:rPr>
          <w:rFonts w:asciiTheme="minorHAnsi" w:hAnsiTheme="minorHAnsi" w:cs="Arial"/>
          <w:sz w:val="20"/>
          <w:szCs w:val="20"/>
          <w:lang w:val="en-GB"/>
        </w:rPr>
        <w:t>Utilizes groups or individuals to conduct the assurance who are not unduly limited by their relationship with the organization or its stakeholders to reach and publish an independent and impartial conclusion on the report;</w:t>
      </w:r>
    </w:p>
    <w:p w:rsidR="00640BB7" w:rsidRPr="007F7CB8" w:rsidRDefault="00040CA1" w:rsidP="00640BB7">
      <w:pPr>
        <w:pStyle w:val="NormalWeb"/>
        <w:numPr>
          <w:ilvl w:val="0"/>
          <w:numId w:val="3"/>
        </w:numPr>
        <w:spacing w:before="0" w:beforeAutospacing="0" w:after="0" w:afterAutospacing="0"/>
        <w:rPr>
          <w:rFonts w:asciiTheme="minorHAnsi" w:hAnsiTheme="minorHAnsi" w:cs="Arial"/>
          <w:sz w:val="20"/>
          <w:szCs w:val="20"/>
          <w:lang w:val="en-GB"/>
        </w:rPr>
      </w:pPr>
      <w:r w:rsidRPr="00040CA1">
        <w:rPr>
          <w:rFonts w:asciiTheme="minorHAnsi" w:hAnsiTheme="minorHAnsi" w:cs="Arial"/>
          <w:sz w:val="20"/>
          <w:szCs w:val="20"/>
          <w:lang w:val="en-GB"/>
        </w:rPr>
        <w:t>Assesses the extent to which the report preparer has applied the GRI Reporting Framework (including the Reporting Principles) in the course of reaching its conclusions; and</w:t>
      </w:r>
    </w:p>
    <w:p w:rsidR="00640BB7" w:rsidRPr="007F7CB8" w:rsidRDefault="00040CA1" w:rsidP="00640BB7">
      <w:pPr>
        <w:pStyle w:val="NormalWeb"/>
        <w:numPr>
          <w:ilvl w:val="0"/>
          <w:numId w:val="3"/>
        </w:numPr>
        <w:spacing w:before="0" w:beforeAutospacing="0" w:after="0" w:afterAutospacing="0"/>
        <w:rPr>
          <w:rFonts w:asciiTheme="minorHAnsi" w:hAnsiTheme="minorHAnsi" w:cs="Arial"/>
          <w:sz w:val="20"/>
          <w:szCs w:val="20"/>
          <w:lang w:val="en-GB"/>
        </w:rPr>
      </w:pPr>
      <w:r w:rsidRPr="00040CA1">
        <w:rPr>
          <w:rFonts w:asciiTheme="minorHAnsi" w:hAnsiTheme="minorHAnsi" w:cs="Arial"/>
          <w:sz w:val="20"/>
          <w:szCs w:val="20"/>
          <w:lang w:val="en-GB"/>
        </w:rPr>
        <w:t>Results in an opinion or set of conclusions that is publicly available in written form, and a statement from the assurance provider on their relationship to the report preparer.</w:t>
      </w:r>
    </w:p>
    <w:p w:rsidR="00640BB7" w:rsidRPr="007F7CB8" w:rsidRDefault="00640BB7" w:rsidP="00640BB7">
      <w:pPr>
        <w:jc w:val="both"/>
        <w:rPr>
          <w:rFonts w:asciiTheme="minorHAnsi" w:hAnsiTheme="minorHAnsi"/>
          <w:color w:val="6D6A62"/>
          <w:sz w:val="20"/>
          <w:szCs w:val="20"/>
          <w:lang w:eastAsia="en-AU"/>
        </w:rPr>
      </w:pPr>
    </w:p>
    <w:p w:rsidR="00640BB7" w:rsidRPr="007F7CB8" w:rsidRDefault="00040CA1" w:rsidP="00640BB7">
      <w:pPr>
        <w:pStyle w:val="NormalWeb"/>
        <w:spacing w:before="0" w:beforeAutospacing="0" w:after="0" w:afterAutospacing="0"/>
        <w:rPr>
          <w:rFonts w:asciiTheme="minorHAnsi" w:hAnsiTheme="minorHAnsi" w:cs="Arial"/>
          <w:sz w:val="20"/>
          <w:szCs w:val="20"/>
          <w:lang w:val="en-GB"/>
        </w:rPr>
      </w:pPr>
      <w:r w:rsidRPr="00040CA1">
        <w:rPr>
          <w:rFonts w:asciiTheme="minorHAnsi" w:hAnsiTheme="minorHAnsi" w:cs="Arial"/>
          <w:sz w:val="20"/>
          <w:szCs w:val="20"/>
          <w:lang w:val="en-GB"/>
        </w:rPr>
        <w:t>Common external assurance frameworks which fulfil the GRI’s requirements include:</w:t>
      </w:r>
    </w:p>
    <w:p w:rsidR="00640BB7" w:rsidRPr="007F7CB8" w:rsidRDefault="00040CA1" w:rsidP="00640BB7">
      <w:pPr>
        <w:pStyle w:val="NormalWeb"/>
        <w:numPr>
          <w:ilvl w:val="0"/>
          <w:numId w:val="4"/>
        </w:numPr>
        <w:spacing w:before="0" w:beforeAutospacing="0" w:after="0" w:afterAutospacing="0"/>
        <w:rPr>
          <w:rFonts w:asciiTheme="minorHAnsi" w:hAnsiTheme="minorHAnsi" w:cs="Arial"/>
          <w:sz w:val="20"/>
          <w:szCs w:val="20"/>
          <w:lang w:val="en-GB"/>
        </w:rPr>
      </w:pPr>
      <w:r w:rsidRPr="00040CA1">
        <w:rPr>
          <w:rFonts w:asciiTheme="minorHAnsi" w:hAnsiTheme="minorHAnsi" w:cs="Arial"/>
          <w:sz w:val="20"/>
          <w:szCs w:val="20"/>
          <w:lang w:val="en-GB"/>
        </w:rPr>
        <w:t xml:space="preserve">International Standard for Assurance Engagements (ISAE) 3000; and </w:t>
      </w:r>
    </w:p>
    <w:p w:rsidR="00640BB7" w:rsidRPr="007F7CB8" w:rsidRDefault="00040CA1" w:rsidP="00640BB7">
      <w:pPr>
        <w:pStyle w:val="NormalWeb"/>
        <w:numPr>
          <w:ilvl w:val="0"/>
          <w:numId w:val="4"/>
        </w:numPr>
        <w:spacing w:before="0" w:beforeAutospacing="0" w:after="0" w:afterAutospacing="0"/>
        <w:rPr>
          <w:rFonts w:asciiTheme="minorHAnsi" w:hAnsiTheme="minorHAnsi" w:cs="Arial"/>
          <w:sz w:val="20"/>
          <w:szCs w:val="20"/>
          <w:lang w:val="en-GB"/>
        </w:rPr>
      </w:pPr>
      <w:r w:rsidRPr="00040CA1">
        <w:rPr>
          <w:rFonts w:asciiTheme="minorHAnsi" w:hAnsiTheme="minorHAnsi" w:cs="Arial"/>
          <w:sz w:val="20"/>
          <w:szCs w:val="20"/>
          <w:lang w:val="en-GB"/>
        </w:rPr>
        <w:t xml:space="preserve">AA1000 AS, issued by the non-profit organisation </w:t>
      </w:r>
      <w:proofErr w:type="spellStart"/>
      <w:r w:rsidRPr="00040CA1">
        <w:rPr>
          <w:rFonts w:asciiTheme="minorHAnsi" w:hAnsiTheme="minorHAnsi" w:cs="Arial"/>
          <w:sz w:val="20"/>
          <w:szCs w:val="20"/>
          <w:lang w:val="en-GB"/>
        </w:rPr>
        <w:t>AccountAbility</w:t>
      </w:r>
      <w:proofErr w:type="spellEnd"/>
      <w:r w:rsidRPr="00040CA1">
        <w:rPr>
          <w:rFonts w:asciiTheme="minorHAnsi" w:hAnsiTheme="minorHAnsi" w:cs="Arial"/>
          <w:sz w:val="20"/>
          <w:szCs w:val="20"/>
          <w:lang w:val="en-GB"/>
        </w:rPr>
        <w:t>.</w:t>
      </w:r>
    </w:p>
    <w:p w:rsidR="00640BB7" w:rsidRDefault="00640BB7" w:rsidP="00640BB7">
      <w:pPr>
        <w:jc w:val="both"/>
        <w:rPr>
          <w:rFonts w:asciiTheme="minorHAnsi" w:hAnsiTheme="minorHAnsi"/>
          <w:color w:val="6D6A62"/>
          <w:sz w:val="20"/>
          <w:szCs w:val="20"/>
          <w:lang w:eastAsia="en-AU"/>
        </w:rPr>
      </w:pPr>
    </w:p>
    <w:p w:rsidR="00040CA1" w:rsidRDefault="00BB5673" w:rsidP="00040CA1">
      <w:pPr>
        <w:autoSpaceDE w:val="0"/>
        <w:autoSpaceDN w:val="0"/>
        <w:adjustRightInd w:val="0"/>
        <w:rPr>
          <w:rFonts w:asciiTheme="minorHAnsi" w:eastAsiaTheme="minorHAnsi" w:hAnsiTheme="minorHAnsi" w:cs="DIN-Regular"/>
          <w:sz w:val="20"/>
          <w:szCs w:val="20"/>
          <w:lang w:val="en-US" w:eastAsia="en-US"/>
        </w:rPr>
      </w:pPr>
      <w:r w:rsidRPr="00BB5673">
        <w:rPr>
          <w:rFonts w:asciiTheme="minorHAnsi" w:eastAsiaTheme="minorHAnsi" w:hAnsiTheme="minorHAnsi" w:cs="DIN-Regular"/>
          <w:sz w:val="20"/>
          <w:szCs w:val="20"/>
          <w:lang w:eastAsia="en-US"/>
        </w:rPr>
        <w:t>In 2005, members of the International Council on Mining and Metals (ICMM) committed to report in accordance with the GRI Guidelines and a Mining and Metals Sector Supplement.  In 2008, ICMM members committed to report in accordance with the GRI’s G3 Guidelines and to update the Mining and Metals Sector Supplement.  ICMM's Assurance Procedure was also launched in 2008.  It outlines ICMM’s members’ commitment to independent external assurance of the implementation and measurement of performance against the 10 ICMM Principles, and public reporting of performance.</w:t>
      </w:r>
      <w:r>
        <w:rPr>
          <w:rFonts w:asciiTheme="minorHAnsi" w:eastAsiaTheme="minorHAnsi" w:hAnsiTheme="minorHAnsi" w:cs="DIN-Regular"/>
          <w:sz w:val="20"/>
          <w:szCs w:val="20"/>
          <w:lang w:eastAsia="en-US"/>
        </w:rPr>
        <w:t xml:space="preserve">  </w:t>
      </w:r>
      <w:r w:rsidR="00C84D41" w:rsidRPr="00BB5673">
        <w:rPr>
          <w:rFonts w:asciiTheme="minorHAnsi" w:eastAsiaTheme="minorHAnsi" w:hAnsiTheme="minorHAnsi" w:cs="DIN-Regular"/>
          <w:sz w:val="20"/>
          <w:szCs w:val="20"/>
          <w:lang w:val="en-US" w:eastAsia="en-US"/>
        </w:rPr>
        <w:t xml:space="preserve">In addition, the ICMM </w:t>
      </w:r>
      <w:r>
        <w:rPr>
          <w:rFonts w:asciiTheme="minorHAnsi" w:eastAsiaTheme="minorHAnsi" w:hAnsiTheme="minorHAnsi" w:cs="DIN-Regular"/>
          <w:sz w:val="20"/>
          <w:szCs w:val="20"/>
          <w:lang w:val="en-US" w:eastAsia="en-US"/>
        </w:rPr>
        <w:t>Assurance P</w:t>
      </w:r>
      <w:r w:rsidR="00C84D41" w:rsidRPr="00BB5673">
        <w:rPr>
          <w:rFonts w:asciiTheme="minorHAnsi" w:eastAsiaTheme="minorHAnsi" w:hAnsiTheme="minorHAnsi" w:cs="DIN-Regular"/>
          <w:sz w:val="20"/>
          <w:szCs w:val="20"/>
          <w:lang w:val="en-US" w:eastAsia="en-US"/>
        </w:rPr>
        <w:t>rocedure help</w:t>
      </w:r>
      <w:r>
        <w:rPr>
          <w:rFonts w:asciiTheme="minorHAnsi" w:eastAsiaTheme="minorHAnsi" w:hAnsiTheme="minorHAnsi" w:cs="DIN-Regular"/>
          <w:sz w:val="20"/>
          <w:szCs w:val="20"/>
          <w:lang w:val="en-US" w:eastAsia="en-US"/>
        </w:rPr>
        <w:t>s</w:t>
      </w:r>
      <w:r w:rsidR="00C84D41" w:rsidRPr="00BB5673">
        <w:rPr>
          <w:rFonts w:asciiTheme="minorHAnsi" w:eastAsiaTheme="minorHAnsi" w:hAnsiTheme="minorHAnsi" w:cs="DIN-Regular"/>
          <w:sz w:val="20"/>
          <w:szCs w:val="20"/>
          <w:lang w:val="en-US" w:eastAsia="en-US"/>
        </w:rPr>
        <w:t xml:space="preserve"> guide ICMM member companies</w:t>
      </w:r>
      <w:r w:rsidR="00C84D41" w:rsidRPr="00C84D41">
        <w:rPr>
          <w:rFonts w:asciiTheme="minorHAnsi" w:hAnsiTheme="minorHAnsi"/>
          <w:color w:val="6D6A62"/>
          <w:sz w:val="20"/>
          <w:szCs w:val="20"/>
          <w:lang w:eastAsia="en-AU"/>
        </w:rPr>
        <w:t xml:space="preserve"> </w:t>
      </w:r>
      <w:r w:rsidR="00C84D41" w:rsidRPr="00C84D41">
        <w:rPr>
          <w:rFonts w:asciiTheme="minorHAnsi" w:eastAsiaTheme="minorHAnsi" w:hAnsiTheme="minorHAnsi" w:cs="DIN-Regular"/>
          <w:sz w:val="20"/>
          <w:szCs w:val="20"/>
          <w:lang w:val="en-US" w:eastAsia="en-US"/>
        </w:rPr>
        <w:t>in developing their</w:t>
      </w:r>
      <w:r w:rsidR="00C84D41">
        <w:rPr>
          <w:rFonts w:asciiTheme="minorHAnsi" w:eastAsiaTheme="minorHAnsi" w:hAnsiTheme="minorHAnsi" w:cs="DIN-Regular"/>
          <w:sz w:val="20"/>
          <w:szCs w:val="20"/>
          <w:lang w:val="en-US" w:eastAsia="en-US"/>
        </w:rPr>
        <w:t xml:space="preserve"> </w:t>
      </w:r>
      <w:r w:rsidR="00040CA1" w:rsidRPr="00040CA1">
        <w:rPr>
          <w:rFonts w:asciiTheme="minorHAnsi" w:eastAsiaTheme="minorHAnsi" w:hAnsiTheme="minorHAnsi" w:cs="DIN-Regular"/>
          <w:sz w:val="20"/>
          <w:szCs w:val="20"/>
          <w:lang w:val="en-US" w:eastAsia="en-US"/>
        </w:rPr>
        <w:t>sustainabili</w:t>
      </w:r>
      <w:r w:rsidR="00C84D41" w:rsidRPr="00C84D41">
        <w:rPr>
          <w:rFonts w:asciiTheme="minorHAnsi" w:eastAsiaTheme="minorHAnsi" w:hAnsiTheme="minorHAnsi" w:cs="DIN-Regular"/>
          <w:sz w:val="20"/>
          <w:szCs w:val="20"/>
          <w:lang w:val="en-US" w:eastAsia="en-US"/>
        </w:rPr>
        <w:t>ty reports and in engaging with</w:t>
      </w:r>
      <w:r w:rsidR="00C84D41">
        <w:rPr>
          <w:rFonts w:asciiTheme="minorHAnsi" w:eastAsiaTheme="minorHAnsi" w:hAnsiTheme="minorHAnsi" w:cs="DIN-Regular"/>
          <w:sz w:val="20"/>
          <w:szCs w:val="20"/>
          <w:lang w:val="en-US" w:eastAsia="en-US"/>
        </w:rPr>
        <w:t xml:space="preserve"> </w:t>
      </w:r>
      <w:r w:rsidR="00040CA1" w:rsidRPr="00040CA1">
        <w:rPr>
          <w:rFonts w:asciiTheme="minorHAnsi" w:eastAsiaTheme="minorHAnsi" w:hAnsiTheme="minorHAnsi" w:cs="DIN-Regular"/>
          <w:sz w:val="20"/>
          <w:szCs w:val="20"/>
          <w:lang w:val="en-US" w:eastAsia="en-US"/>
        </w:rPr>
        <w:t>assurance providers</w:t>
      </w:r>
      <w:r w:rsidR="00C84D41">
        <w:rPr>
          <w:rFonts w:asciiTheme="minorHAnsi" w:eastAsiaTheme="minorHAnsi" w:hAnsiTheme="minorHAnsi" w:cs="DIN-Regular"/>
          <w:sz w:val="20"/>
          <w:szCs w:val="20"/>
          <w:lang w:val="en-US" w:eastAsia="en-US"/>
        </w:rPr>
        <w:t>.</w:t>
      </w:r>
    </w:p>
    <w:p w:rsidR="00BB5673" w:rsidRDefault="00BB5673" w:rsidP="00040CA1">
      <w:pPr>
        <w:autoSpaceDE w:val="0"/>
        <w:autoSpaceDN w:val="0"/>
        <w:adjustRightInd w:val="0"/>
        <w:rPr>
          <w:rFonts w:asciiTheme="minorHAnsi" w:eastAsiaTheme="minorHAnsi" w:hAnsiTheme="minorHAnsi" w:cs="DIN-Regular"/>
          <w:sz w:val="20"/>
          <w:szCs w:val="20"/>
          <w:lang w:val="en-US" w:eastAsia="en-US"/>
        </w:rPr>
      </w:pPr>
    </w:p>
    <w:p w:rsidR="00BB5673" w:rsidRDefault="00BB5673" w:rsidP="00040CA1">
      <w:pPr>
        <w:autoSpaceDE w:val="0"/>
        <w:autoSpaceDN w:val="0"/>
        <w:adjustRightInd w:val="0"/>
        <w:rPr>
          <w:rFonts w:asciiTheme="minorHAnsi" w:eastAsiaTheme="minorHAnsi" w:hAnsiTheme="minorHAnsi" w:cs="DIN-Regular"/>
          <w:sz w:val="20"/>
          <w:szCs w:val="20"/>
          <w:lang w:val="en-US" w:eastAsia="en-US"/>
        </w:rPr>
      </w:pPr>
      <w:r w:rsidRPr="00BB5673">
        <w:rPr>
          <w:rFonts w:asciiTheme="minorHAnsi" w:eastAsiaTheme="minorHAnsi" w:hAnsiTheme="minorHAnsi" w:cs="DIN-Regular"/>
          <w:sz w:val="20"/>
          <w:szCs w:val="20"/>
          <w:lang w:val="en-US" w:eastAsia="en-US"/>
        </w:rPr>
        <w:t xml:space="preserve">The OECD’s </w:t>
      </w:r>
      <w:r w:rsidRPr="00BB5673">
        <w:rPr>
          <w:rFonts w:asciiTheme="minorHAnsi" w:eastAsiaTheme="minorHAnsi" w:hAnsiTheme="minorHAnsi" w:cs="DIN-Regular"/>
          <w:i/>
          <w:iCs/>
          <w:sz w:val="20"/>
          <w:szCs w:val="20"/>
          <w:lang w:val="en-US" w:eastAsia="en-US"/>
        </w:rPr>
        <w:t xml:space="preserve">Due Diligence Guidance for Responsible Supply Chains of Minerals from Conflict-Affected and High-Risk Areas </w:t>
      </w:r>
      <w:r w:rsidRPr="00BB5673">
        <w:rPr>
          <w:rFonts w:asciiTheme="minorHAnsi" w:eastAsiaTheme="minorHAnsi" w:hAnsiTheme="minorHAnsi" w:cs="DIN-Regular"/>
          <w:sz w:val="20"/>
          <w:szCs w:val="20"/>
          <w:lang w:val="en-US" w:eastAsia="en-US"/>
        </w:rPr>
        <w:t>includes, as one of the 5 due diligence steps, an annual reporting</w:t>
      </w:r>
      <w:r w:rsidRPr="00BB5673">
        <w:rPr>
          <w:rFonts w:asciiTheme="minorHAnsi" w:eastAsiaTheme="minorHAnsi" w:hAnsiTheme="minorHAnsi" w:cs="DIN-Regular"/>
          <w:bCs/>
          <w:sz w:val="20"/>
          <w:szCs w:val="20"/>
          <w:lang w:val="en-US" w:eastAsia="en-US"/>
        </w:rPr>
        <w:t xml:space="preserve"> of information on due diligence for responsible supply chains of minerals from conflict-affected and high-risk areas</w:t>
      </w:r>
      <w:r w:rsidRPr="00BB5673">
        <w:rPr>
          <w:rFonts w:asciiTheme="minorHAnsi" w:eastAsiaTheme="minorHAnsi" w:hAnsiTheme="minorHAnsi" w:cs="DIN-Regular"/>
          <w:sz w:val="20"/>
          <w:szCs w:val="20"/>
          <w:lang w:val="en-US" w:eastAsia="en-US"/>
        </w:rPr>
        <w:t xml:space="preserve">.  This information should be integrated </w:t>
      </w:r>
      <w:r w:rsidRPr="00BB5673">
        <w:rPr>
          <w:rFonts w:asciiTheme="minorHAnsi" w:eastAsiaTheme="minorHAnsi" w:hAnsiTheme="minorHAnsi" w:cs="DIN-Regular"/>
          <w:bCs/>
          <w:sz w:val="20"/>
          <w:szCs w:val="20"/>
          <w:lang w:val="en-US" w:eastAsia="en-US"/>
        </w:rPr>
        <w:t xml:space="preserve">where practicable into annual sustainability or corporate responsibility reports. </w:t>
      </w:r>
    </w:p>
    <w:p w:rsidR="00040CA1" w:rsidRPr="00040CA1" w:rsidRDefault="00040CA1" w:rsidP="00040CA1">
      <w:pPr>
        <w:autoSpaceDE w:val="0"/>
        <w:autoSpaceDN w:val="0"/>
        <w:adjustRightInd w:val="0"/>
        <w:rPr>
          <w:rFonts w:asciiTheme="minorHAnsi" w:eastAsiaTheme="minorHAnsi" w:hAnsiTheme="minorHAnsi" w:cs="DIN-Regular"/>
          <w:sz w:val="20"/>
          <w:szCs w:val="20"/>
          <w:lang w:val="en-US" w:eastAsia="en-US"/>
        </w:rPr>
      </w:pPr>
    </w:p>
    <w:p w:rsidR="00640BB7" w:rsidRPr="007F7CB8" w:rsidRDefault="00040CA1" w:rsidP="00640BB7">
      <w:pPr>
        <w:rPr>
          <w:rFonts w:asciiTheme="minorHAnsi" w:hAnsiTheme="minorHAnsi" w:cs="Arial"/>
          <w:b/>
          <w:i/>
          <w:sz w:val="20"/>
          <w:szCs w:val="20"/>
        </w:rPr>
      </w:pPr>
      <w:r w:rsidRPr="00040CA1">
        <w:rPr>
          <w:rFonts w:asciiTheme="minorHAnsi" w:hAnsiTheme="minorHAnsi" w:cs="Arial"/>
          <w:b/>
          <w:i/>
          <w:sz w:val="20"/>
          <w:szCs w:val="20"/>
        </w:rPr>
        <w:t>National law</w:t>
      </w:r>
    </w:p>
    <w:p w:rsidR="00640BB7" w:rsidRPr="007F7CB8" w:rsidRDefault="00040CA1" w:rsidP="00640BB7">
      <w:pPr>
        <w:rPr>
          <w:rFonts w:asciiTheme="minorHAnsi" w:hAnsiTheme="minorHAnsi" w:cs="Arial"/>
          <w:sz w:val="20"/>
          <w:szCs w:val="20"/>
          <w:lang w:eastAsia="en-AU"/>
        </w:rPr>
      </w:pPr>
      <w:r w:rsidRPr="00040CA1">
        <w:rPr>
          <w:rFonts w:asciiTheme="minorHAnsi" w:hAnsiTheme="minorHAnsi" w:cs="Arial"/>
          <w:sz w:val="20"/>
          <w:szCs w:val="20"/>
          <w:lang w:eastAsia="en-AU"/>
        </w:rPr>
        <w:t xml:space="preserve">Some jurisdictions may impose a requirement for regular public reporting from the mining sector, or on significant environmental impacts in general.  </w:t>
      </w:r>
      <w:r w:rsidRPr="00040CA1">
        <w:rPr>
          <w:rFonts w:asciiTheme="minorHAnsi" w:hAnsiTheme="minorHAnsi" w:cs="Arial"/>
          <w:sz w:val="20"/>
          <w:szCs w:val="20"/>
        </w:rPr>
        <w:t>It is important to be fully informed of all relevant legislation and regulations in every jurisdiction of operation.</w:t>
      </w:r>
    </w:p>
    <w:p w:rsidR="00640BB7" w:rsidRDefault="00640BB7" w:rsidP="00640BB7">
      <w:pPr>
        <w:rPr>
          <w:rFonts w:asciiTheme="minorHAnsi" w:hAnsiTheme="minorHAnsi" w:cs="Arial"/>
          <w:b/>
          <w:sz w:val="28"/>
          <w:szCs w:val="28"/>
        </w:rPr>
      </w:pPr>
    </w:p>
    <w:p w:rsidR="00CC2E23" w:rsidRPr="007F7CB8" w:rsidRDefault="00CC2E23" w:rsidP="00640BB7">
      <w:pPr>
        <w:rPr>
          <w:rFonts w:asciiTheme="minorHAnsi" w:hAnsiTheme="minorHAnsi"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tblPr>
      <w:tblGrid>
        <w:gridCol w:w="8522"/>
      </w:tblGrid>
      <w:tr w:rsidR="00640BB7" w:rsidRPr="007F7CB8" w:rsidTr="00A31DF6">
        <w:tc>
          <w:tcPr>
            <w:tcW w:w="8522" w:type="dxa"/>
            <w:shd w:val="clear" w:color="auto" w:fill="C4BC96" w:themeFill="background2" w:themeFillShade="BF"/>
          </w:tcPr>
          <w:p w:rsidR="00640BB7" w:rsidRPr="007F7CB8" w:rsidRDefault="00040CA1" w:rsidP="00640BB7">
            <w:pPr>
              <w:numPr>
                <w:ilvl w:val="0"/>
                <w:numId w:val="6"/>
              </w:numPr>
              <w:rPr>
                <w:rFonts w:asciiTheme="minorHAnsi" w:hAnsiTheme="minorHAnsi" w:cs="Arial"/>
                <w:b/>
              </w:rPr>
            </w:pPr>
            <w:r w:rsidRPr="00040CA1">
              <w:rPr>
                <w:rFonts w:asciiTheme="minorHAnsi" w:hAnsiTheme="minorHAnsi" w:cs="Arial"/>
                <w:b/>
              </w:rPr>
              <w:lastRenderedPageBreak/>
              <w:t>Suggested implementation approach</w:t>
            </w:r>
          </w:p>
        </w:tc>
      </w:tr>
    </w:tbl>
    <w:p w:rsidR="00640BB7" w:rsidRPr="00FE78BC" w:rsidRDefault="00640BB7" w:rsidP="00640BB7">
      <w:pPr>
        <w:rPr>
          <w:rFonts w:asciiTheme="minorHAnsi" w:hAnsiTheme="minorHAnsi" w:cs="Arial"/>
          <w:b/>
        </w:rPr>
      </w:pPr>
    </w:p>
    <w:p w:rsidR="00CC2E23" w:rsidRPr="00CC2E23" w:rsidRDefault="0085535E" w:rsidP="00BB38CD">
      <w:pPr>
        <w:numPr>
          <w:ilvl w:val="1"/>
          <w:numId w:val="1"/>
        </w:numPr>
        <w:ind w:left="360"/>
        <w:rPr>
          <w:rFonts w:asciiTheme="minorHAnsi" w:hAnsiTheme="minorHAnsi" w:cs="Arial"/>
          <w:b/>
          <w:i/>
          <w:sz w:val="20"/>
          <w:szCs w:val="20"/>
        </w:rPr>
      </w:pPr>
      <w:r>
        <w:rPr>
          <w:rFonts w:asciiTheme="minorHAnsi" w:hAnsiTheme="minorHAnsi" w:cs="Arial"/>
          <w:b/>
          <w:i/>
          <w:sz w:val="20"/>
          <w:szCs w:val="20"/>
        </w:rPr>
        <w:t>COP 3</w:t>
      </w:r>
      <w:r w:rsidR="00B71F38">
        <w:rPr>
          <w:rFonts w:asciiTheme="minorHAnsi" w:hAnsiTheme="minorHAnsi" w:cs="Arial"/>
          <w:b/>
          <w:i/>
          <w:sz w:val="20"/>
          <w:szCs w:val="20"/>
        </w:rPr>
        <w:t>.1</w:t>
      </w:r>
      <w:r w:rsidR="008B5CA7">
        <w:rPr>
          <w:rFonts w:asciiTheme="minorHAnsi" w:hAnsiTheme="minorHAnsi" w:cs="Arial"/>
          <w:b/>
          <w:i/>
          <w:sz w:val="20"/>
          <w:szCs w:val="20"/>
        </w:rPr>
        <w:t>:</w:t>
      </w:r>
      <w:r w:rsidR="00B71F38">
        <w:rPr>
          <w:rFonts w:asciiTheme="minorHAnsi" w:hAnsiTheme="minorHAnsi" w:cs="Arial"/>
          <w:b/>
          <w:i/>
          <w:sz w:val="20"/>
          <w:szCs w:val="20"/>
        </w:rPr>
        <w:t xml:space="preserve"> Communication to Stakeholders: </w:t>
      </w:r>
      <w:r w:rsidR="002B2F98" w:rsidRPr="00113D33">
        <w:rPr>
          <w:rFonts w:asciiTheme="minorHAnsi" w:hAnsiTheme="minorHAnsi" w:cs="Arial"/>
          <w:i/>
          <w:iCs/>
          <w:sz w:val="20"/>
          <w:szCs w:val="20"/>
        </w:rPr>
        <w:t>Members shall</w:t>
      </w:r>
      <w:r>
        <w:rPr>
          <w:rFonts w:asciiTheme="minorHAnsi" w:hAnsiTheme="minorHAnsi" w:cs="Arial"/>
          <w:i/>
          <w:iCs/>
          <w:sz w:val="20"/>
          <w:szCs w:val="20"/>
        </w:rPr>
        <w:t xml:space="preserve"> communicate to stakeholders at least annually on their business practices relevant to the RJC Code of Practices. </w:t>
      </w:r>
    </w:p>
    <w:p w:rsidR="00B71F38" w:rsidRDefault="002B2F98" w:rsidP="00CC2E23">
      <w:pPr>
        <w:ind w:left="360"/>
        <w:rPr>
          <w:rFonts w:asciiTheme="minorHAnsi" w:hAnsiTheme="minorHAnsi" w:cs="Arial"/>
          <w:b/>
          <w:i/>
          <w:sz w:val="20"/>
          <w:szCs w:val="20"/>
        </w:rPr>
      </w:pPr>
      <w:r w:rsidRPr="009D10F5">
        <w:rPr>
          <w:rFonts w:asciiTheme="minorHAnsi" w:hAnsiTheme="minorHAnsi" w:cs="Arial"/>
          <w:b/>
          <w:bCs/>
          <w:sz w:val="20"/>
          <w:szCs w:val="20"/>
        </w:rPr>
        <w:t>Points to consider:</w:t>
      </w:r>
    </w:p>
    <w:p w:rsidR="002B2F98" w:rsidRPr="005F6A53" w:rsidRDefault="002B2F98" w:rsidP="00BB38CD">
      <w:pPr>
        <w:numPr>
          <w:ilvl w:val="2"/>
          <w:numId w:val="1"/>
        </w:numPr>
        <w:ind w:left="1080"/>
        <w:rPr>
          <w:rFonts w:asciiTheme="minorHAnsi" w:hAnsiTheme="minorHAnsi" w:cs="Arial"/>
          <w:b/>
          <w:i/>
          <w:sz w:val="20"/>
          <w:szCs w:val="20"/>
        </w:rPr>
      </w:pPr>
      <w:r w:rsidRPr="003902BA">
        <w:rPr>
          <w:rFonts w:asciiTheme="minorHAnsi" w:hAnsiTheme="minorHAnsi" w:cs="Arial"/>
          <w:sz w:val="20"/>
          <w:szCs w:val="20"/>
        </w:rPr>
        <w:t xml:space="preserve">Nominate a senior manager </w:t>
      </w:r>
      <w:r w:rsidR="00A9592D">
        <w:rPr>
          <w:rFonts w:asciiTheme="minorHAnsi" w:hAnsiTheme="minorHAnsi" w:cs="Arial"/>
          <w:sz w:val="20"/>
          <w:szCs w:val="20"/>
        </w:rPr>
        <w:t xml:space="preserve">to </w:t>
      </w:r>
      <w:r w:rsidRPr="003902BA">
        <w:rPr>
          <w:rFonts w:asciiTheme="minorHAnsi" w:hAnsiTheme="minorHAnsi" w:cs="Arial"/>
          <w:sz w:val="20"/>
          <w:szCs w:val="20"/>
        </w:rPr>
        <w:t xml:space="preserve">oversee the </w:t>
      </w:r>
      <w:r w:rsidR="00CE480D">
        <w:rPr>
          <w:rFonts w:asciiTheme="minorHAnsi" w:hAnsiTheme="minorHAnsi" w:cs="Arial"/>
          <w:sz w:val="20"/>
          <w:szCs w:val="20"/>
        </w:rPr>
        <w:t xml:space="preserve">preparation of the </w:t>
      </w:r>
      <w:r w:rsidRPr="003902BA">
        <w:rPr>
          <w:rFonts w:asciiTheme="minorHAnsi" w:hAnsiTheme="minorHAnsi" w:cs="Arial"/>
          <w:sz w:val="20"/>
          <w:szCs w:val="20"/>
        </w:rPr>
        <w:t>report</w:t>
      </w:r>
      <w:r w:rsidR="00BB38CD">
        <w:rPr>
          <w:rFonts w:asciiTheme="minorHAnsi" w:hAnsiTheme="minorHAnsi" w:cs="Arial"/>
          <w:sz w:val="20"/>
          <w:szCs w:val="20"/>
        </w:rPr>
        <w:t>/communication.</w:t>
      </w:r>
    </w:p>
    <w:p w:rsidR="00BB6480" w:rsidRPr="00BB38CD" w:rsidRDefault="00BB38CD" w:rsidP="00BB38CD">
      <w:pPr>
        <w:numPr>
          <w:ilvl w:val="2"/>
          <w:numId w:val="1"/>
        </w:numPr>
        <w:ind w:left="1080"/>
        <w:rPr>
          <w:rFonts w:asciiTheme="minorHAnsi" w:hAnsiTheme="minorHAnsi" w:cs="Arial"/>
          <w:b/>
          <w:i/>
          <w:sz w:val="20"/>
          <w:szCs w:val="20"/>
        </w:rPr>
      </w:pPr>
      <w:r w:rsidRPr="00BB38CD">
        <w:rPr>
          <w:rFonts w:asciiTheme="minorHAnsi" w:hAnsiTheme="minorHAnsi" w:cs="Arial"/>
          <w:sz w:val="20"/>
          <w:szCs w:val="20"/>
        </w:rPr>
        <w:t>Identify relevant issues – those that pertain to the COP and are of interest to stakeholders, and/or are of concern to the Member</w:t>
      </w:r>
      <w:r>
        <w:rPr>
          <w:rFonts w:asciiTheme="minorHAnsi" w:hAnsiTheme="minorHAnsi" w:cs="Arial"/>
          <w:sz w:val="20"/>
          <w:szCs w:val="20"/>
        </w:rPr>
        <w:t>.  These could include, for example,</w:t>
      </w:r>
      <w:r w:rsidRPr="00BB38CD">
        <w:rPr>
          <w:rFonts w:asciiTheme="minorHAnsi" w:hAnsiTheme="minorHAnsi" w:cs="Arial"/>
          <w:sz w:val="20"/>
          <w:szCs w:val="20"/>
        </w:rPr>
        <w:t xml:space="preserve"> human rights due diligence, factory working conditions, promotion of responsible business practices with business partners, reduction of wastes, </w:t>
      </w:r>
      <w:r w:rsidR="001736B7">
        <w:rPr>
          <w:rFonts w:asciiTheme="minorHAnsi" w:hAnsiTheme="minorHAnsi" w:cs="Arial"/>
          <w:sz w:val="20"/>
          <w:szCs w:val="20"/>
        </w:rPr>
        <w:t xml:space="preserve">local procurement, </w:t>
      </w:r>
      <w:r>
        <w:rPr>
          <w:rFonts w:asciiTheme="minorHAnsi" w:hAnsiTheme="minorHAnsi" w:cs="Arial"/>
          <w:sz w:val="20"/>
          <w:szCs w:val="20"/>
        </w:rPr>
        <w:t>or other issues of most relevance to the business</w:t>
      </w:r>
      <w:r w:rsidR="001736B7">
        <w:rPr>
          <w:rFonts w:asciiTheme="minorHAnsi" w:hAnsiTheme="minorHAnsi" w:cs="Arial"/>
          <w:sz w:val="20"/>
          <w:szCs w:val="20"/>
        </w:rPr>
        <w:t>, or that have been raised as concerns by affected stakeholders</w:t>
      </w:r>
      <w:r w:rsidRPr="00BB38CD">
        <w:rPr>
          <w:rFonts w:asciiTheme="minorHAnsi" w:hAnsiTheme="minorHAnsi" w:cs="Arial"/>
          <w:sz w:val="20"/>
          <w:szCs w:val="20"/>
        </w:rPr>
        <w:t xml:space="preserve">.  </w:t>
      </w:r>
      <w:r w:rsidR="00B0271B" w:rsidRPr="00BB38CD">
        <w:rPr>
          <w:rFonts w:asciiTheme="minorHAnsi" w:hAnsiTheme="minorHAnsi" w:cs="Arial"/>
          <w:sz w:val="20"/>
          <w:szCs w:val="20"/>
        </w:rPr>
        <w:t>R</w:t>
      </w:r>
      <w:r w:rsidR="00BB6480" w:rsidRPr="00BB38CD">
        <w:rPr>
          <w:rFonts w:asciiTheme="minorHAnsi" w:hAnsiTheme="minorHAnsi" w:cs="Arial"/>
          <w:sz w:val="20"/>
          <w:szCs w:val="20"/>
        </w:rPr>
        <w:t>eview issues relevant to the report during the course o</w:t>
      </w:r>
      <w:r w:rsidR="00B0271B" w:rsidRPr="00BB38CD">
        <w:rPr>
          <w:rFonts w:asciiTheme="minorHAnsi" w:hAnsiTheme="minorHAnsi" w:cs="Arial"/>
          <w:sz w:val="20"/>
          <w:szCs w:val="20"/>
        </w:rPr>
        <w:t>f the year, integrating it where possible with regular business review processes</w:t>
      </w:r>
      <w:r w:rsidRPr="00BB38CD">
        <w:rPr>
          <w:rFonts w:asciiTheme="minorHAnsi" w:hAnsiTheme="minorHAnsi" w:cs="Arial"/>
          <w:sz w:val="20"/>
          <w:szCs w:val="20"/>
        </w:rPr>
        <w:t>.</w:t>
      </w:r>
    </w:p>
    <w:p w:rsidR="00913716" w:rsidRPr="00BB6480" w:rsidRDefault="00913716" w:rsidP="00913716">
      <w:pPr>
        <w:numPr>
          <w:ilvl w:val="2"/>
          <w:numId w:val="1"/>
        </w:numPr>
        <w:ind w:left="1080"/>
        <w:rPr>
          <w:rFonts w:asciiTheme="minorHAnsi" w:hAnsiTheme="minorHAnsi" w:cs="Arial"/>
          <w:b/>
          <w:i/>
          <w:sz w:val="20"/>
          <w:szCs w:val="20"/>
        </w:rPr>
      </w:pPr>
      <w:r>
        <w:rPr>
          <w:rFonts w:asciiTheme="minorHAnsi" w:hAnsiTheme="minorHAnsi" w:cs="Arial"/>
          <w:sz w:val="20"/>
          <w:szCs w:val="20"/>
        </w:rPr>
        <w:t>Review the GRI Guidelines for a general orientation about sustainability reporting and consider whether the company could adopt some or all of the reporting framework.</w:t>
      </w:r>
    </w:p>
    <w:p w:rsidR="002A24A9" w:rsidRPr="00CE480D" w:rsidRDefault="002A24A9" w:rsidP="00BB38CD">
      <w:pPr>
        <w:numPr>
          <w:ilvl w:val="2"/>
          <w:numId w:val="1"/>
        </w:numPr>
        <w:ind w:left="1080"/>
        <w:rPr>
          <w:rFonts w:asciiTheme="minorHAnsi" w:hAnsiTheme="minorHAnsi" w:cs="Arial"/>
          <w:b/>
          <w:i/>
          <w:sz w:val="20"/>
          <w:szCs w:val="20"/>
        </w:rPr>
      </w:pPr>
      <w:r>
        <w:rPr>
          <w:rFonts w:asciiTheme="minorHAnsi" w:hAnsiTheme="minorHAnsi" w:cs="Arial"/>
          <w:sz w:val="20"/>
          <w:szCs w:val="20"/>
        </w:rPr>
        <w:t>Identify relevant stakeholders</w:t>
      </w:r>
      <w:r w:rsidR="00CE480D">
        <w:rPr>
          <w:rFonts w:asciiTheme="minorHAnsi" w:hAnsiTheme="minorHAnsi" w:cs="Arial"/>
          <w:sz w:val="20"/>
          <w:szCs w:val="20"/>
        </w:rPr>
        <w:t xml:space="preserve"> (employees, civil society, business partners etc.)</w:t>
      </w:r>
    </w:p>
    <w:p w:rsidR="00B71F38" w:rsidRPr="00CE480D" w:rsidRDefault="002A24A9" w:rsidP="00BB38CD">
      <w:pPr>
        <w:numPr>
          <w:ilvl w:val="2"/>
          <w:numId w:val="1"/>
        </w:numPr>
        <w:ind w:left="1080"/>
        <w:rPr>
          <w:rFonts w:asciiTheme="minorHAnsi" w:hAnsiTheme="minorHAnsi" w:cs="Arial"/>
          <w:b/>
          <w:i/>
          <w:sz w:val="20"/>
          <w:szCs w:val="20"/>
        </w:rPr>
      </w:pPr>
      <w:r>
        <w:rPr>
          <w:rFonts w:asciiTheme="minorHAnsi" w:hAnsiTheme="minorHAnsi" w:cs="Arial"/>
          <w:sz w:val="20"/>
          <w:szCs w:val="20"/>
        </w:rPr>
        <w:t>E</w:t>
      </w:r>
      <w:r w:rsidR="002B2F98">
        <w:rPr>
          <w:rFonts w:asciiTheme="minorHAnsi" w:hAnsiTheme="minorHAnsi" w:cs="Arial"/>
          <w:sz w:val="20"/>
          <w:szCs w:val="20"/>
        </w:rPr>
        <w:t>stablish mechanisms for communication</w:t>
      </w:r>
      <w:r>
        <w:rPr>
          <w:rFonts w:asciiTheme="minorHAnsi" w:hAnsiTheme="minorHAnsi" w:cs="Arial"/>
          <w:sz w:val="20"/>
          <w:szCs w:val="20"/>
        </w:rPr>
        <w:t>, such as through use of email, social media, mail-outs etc.</w:t>
      </w:r>
      <w:r w:rsidR="002B2F98">
        <w:rPr>
          <w:rFonts w:asciiTheme="minorHAnsi" w:hAnsiTheme="minorHAnsi" w:cs="Arial"/>
          <w:sz w:val="20"/>
          <w:szCs w:val="20"/>
        </w:rPr>
        <w:t xml:space="preserve">  As a minimum, companies </w:t>
      </w:r>
      <w:r>
        <w:rPr>
          <w:rFonts w:asciiTheme="minorHAnsi" w:hAnsiTheme="minorHAnsi" w:cs="Arial"/>
          <w:sz w:val="20"/>
          <w:szCs w:val="20"/>
        </w:rPr>
        <w:t xml:space="preserve">that have a website </w:t>
      </w:r>
      <w:r w:rsidR="002B2F98">
        <w:rPr>
          <w:rFonts w:asciiTheme="minorHAnsi" w:hAnsiTheme="minorHAnsi" w:cs="Arial"/>
          <w:sz w:val="20"/>
          <w:szCs w:val="20"/>
        </w:rPr>
        <w:t xml:space="preserve">should </w:t>
      </w:r>
      <w:r>
        <w:rPr>
          <w:rFonts w:asciiTheme="minorHAnsi" w:hAnsiTheme="minorHAnsi" w:cs="Arial"/>
          <w:sz w:val="20"/>
          <w:szCs w:val="20"/>
        </w:rPr>
        <w:t>post the report</w:t>
      </w:r>
      <w:r w:rsidR="00BB38CD">
        <w:rPr>
          <w:rFonts w:asciiTheme="minorHAnsi" w:hAnsiTheme="minorHAnsi" w:cs="Arial"/>
          <w:sz w:val="20"/>
          <w:szCs w:val="20"/>
        </w:rPr>
        <w:t>/communication</w:t>
      </w:r>
      <w:r>
        <w:rPr>
          <w:rFonts w:asciiTheme="minorHAnsi" w:hAnsiTheme="minorHAnsi" w:cs="Arial"/>
          <w:sz w:val="20"/>
          <w:szCs w:val="20"/>
        </w:rPr>
        <w:t xml:space="preserve"> on the</w:t>
      </w:r>
      <w:r w:rsidR="002B2F98">
        <w:rPr>
          <w:rFonts w:asciiTheme="minorHAnsi" w:hAnsiTheme="minorHAnsi" w:cs="Arial"/>
          <w:sz w:val="20"/>
          <w:szCs w:val="20"/>
        </w:rPr>
        <w:t xml:space="preserve"> website</w:t>
      </w:r>
      <w:r w:rsidR="00BB38CD">
        <w:rPr>
          <w:rFonts w:asciiTheme="minorHAnsi" w:hAnsiTheme="minorHAnsi" w:cs="Arial"/>
          <w:sz w:val="20"/>
          <w:szCs w:val="20"/>
        </w:rPr>
        <w:t>.</w:t>
      </w:r>
    </w:p>
    <w:p w:rsidR="00913716" w:rsidRPr="00FE78BC" w:rsidRDefault="00913716" w:rsidP="00913716">
      <w:pPr>
        <w:numPr>
          <w:ilvl w:val="2"/>
          <w:numId w:val="1"/>
        </w:numPr>
        <w:ind w:left="1080"/>
        <w:rPr>
          <w:rFonts w:asciiTheme="minorHAnsi" w:hAnsiTheme="minorHAnsi" w:cs="Arial"/>
          <w:b/>
          <w:i/>
          <w:sz w:val="20"/>
          <w:szCs w:val="20"/>
        </w:rPr>
      </w:pPr>
      <w:r>
        <w:rPr>
          <w:rFonts w:asciiTheme="minorHAnsi" w:hAnsiTheme="minorHAnsi" w:cs="Arial"/>
          <w:sz w:val="20"/>
          <w:szCs w:val="20"/>
        </w:rPr>
        <w:t xml:space="preserve">Adopt a flexible, practical approach to the form and content of the report/communication, taking into account the scale and impacts of the business.  For example for a small business, the report/communication could be in the form of a memorandum or email, it does not need to be a printed publication.  It may be useful if the report/communication could be timed to tie into the annual process for </w:t>
      </w:r>
      <w:r w:rsidRPr="007054C5">
        <w:rPr>
          <w:rFonts w:asciiTheme="minorHAnsi" w:hAnsiTheme="minorHAnsi" w:cs="Arial"/>
          <w:b/>
          <w:color w:val="31849B" w:themeColor="accent5" w:themeShade="BF"/>
          <w:sz w:val="20"/>
          <w:szCs w:val="20"/>
        </w:rPr>
        <w:t>Policy and Implementation</w:t>
      </w:r>
      <w:r w:rsidRPr="00913716">
        <w:rPr>
          <w:rFonts w:asciiTheme="minorHAnsi" w:hAnsiTheme="minorHAnsi" w:cs="Arial"/>
          <w:b/>
          <w:color w:val="365F91" w:themeColor="accent1" w:themeShade="BF"/>
          <w:sz w:val="20"/>
          <w:szCs w:val="20"/>
        </w:rPr>
        <w:t>.</w:t>
      </w:r>
      <w:r w:rsidR="008B15F3">
        <w:rPr>
          <w:rFonts w:asciiTheme="minorHAnsi" w:hAnsiTheme="minorHAnsi" w:cs="Arial"/>
          <w:b/>
          <w:color w:val="365F91" w:themeColor="accent1" w:themeShade="BF"/>
          <w:sz w:val="20"/>
          <w:szCs w:val="20"/>
        </w:rPr>
        <w:t xml:space="preserve">  </w:t>
      </w:r>
    </w:p>
    <w:p w:rsidR="00BB38CD" w:rsidRPr="00BB38CD" w:rsidRDefault="00BB38CD" w:rsidP="00BB38CD">
      <w:pPr>
        <w:numPr>
          <w:ilvl w:val="2"/>
          <w:numId w:val="1"/>
        </w:numPr>
        <w:ind w:left="1080"/>
        <w:rPr>
          <w:rFonts w:asciiTheme="minorHAnsi" w:hAnsiTheme="minorHAnsi" w:cs="Arial"/>
          <w:b/>
          <w:i/>
          <w:sz w:val="20"/>
          <w:szCs w:val="20"/>
        </w:rPr>
      </w:pPr>
      <w:r>
        <w:rPr>
          <w:rFonts w:asciiTheme="minorHAnsi" w:hAnsiTheme="minorHAnsi" w:cs="Arial"/>
          <w:sz w:val="20"/>
          <w:szCs w:val="20"/>
        </w:rPr>
        <w:t>In the report/communication, consider how to communicate the following in a suitable form for your relevant stakeholders:</w:t>
      </w:r>
    </w:p>
    <w:p w:rsidR="002A24A9" w:rsidRPr="00CE480D" w:rsidRDefault="00BB38CD" w:rsidP="00BB38CD">
      <w:pPr>
        <w:numPr>
          <w:ilvl w:val="1"/>
          <w:numId w:val="1"/>
        </w:numPr>
        <w:rPr>
          <w:rFonts w:asciiTheme="minorHAnsi" w:hAnsiTheme="minorHAnsi" w:cs="Arial"/>
          <w:b/>
          <w:i/>
          <w:sz w:val="20"/>
          <w:szCs w:val="20"/>
        </w:rPr>
      </w:pPr>
      <w:r>
        <w:rPr>
          <w:rFonts w:asciiTheme="minorHAnsi" w:hAnsiTheme="minorHAnsi" w:cs="Arial"/>
          <w:sz w:val="20"/>
          <w:szCs w:val="20"/>
        </w:rPr>
        <w:t>T</w:t>
      </w:r>
      <w:r w:rsidR="002A24A9">
        <w:rPr>
          <w:rFonts w:asciiTheme="minorHAnsi" w:hAnsiTheme="minorHAnsi" w:cs="Arial"/>
          <w:sz w:val="20"/>
          <w:szCs w:val="20"/>
        </w:rPr>
        <w:t xml:space="preserve">he company’s policies or positions with respect to </w:t>
      </w:r>
      <w:r>
        <w:rPr>
          <w:rFonts w:asciiTheme="minorHAnsi" w:hAnsiTheme="minorHAnsi" w:cs="Arial"/>
          <w:sz w:val="20"/>
          <w:szCs w:val="20"/>
        </w:rPr>
        <w:t>the relevant issues that have been identified above.</w:t>
      </w:r>
    </w:p>
    <w:p w:rsidR="002A24A9" w:rsidRPr="00BB6480" w:rsidRDefault="00BB38CD" w:rsidP="00BB38CD">
      <w:pPr>
        <w:numPr>
          <w:ilvl w:val="1"/>
          <w:numId w:val="1"/>
        </w:numPr>
        <w:rPr>
          <w:rFonts w:asciiTheme="minorHAnsi" w:hAnsiTheme="minorHAnsi" w:cs="Arial"/>
          <w:b/>
          <w:i/>
          <w:sz w:val="20"/>
          <w:szCs w:val="20"/>
        </w:rPr>
      </w:pPr>
      <w:r>
        <w:rPr>
          <w:rFonts w:asciiTheme="minorHAnsi" w:hAnsiTheme="minorHAnsi" w:cs="Arial"/>
          <w:sz w:val="20"/>
          <w:szCs w:val="20"/>
        </w:rPr>
        <w:t>A</w:t>
      </w:r>
      <w:r w:rsidR="002A24A9">
        <w:rPr>
          <w:rFonts w:asciiTheme="minorHAnsi" w:hAnsiTheme="minorHAnsi" w:cs="Arial"/>
          <w:sz w:val="20"/>
          <w:szCs w:val="20"/>
        </w:rPr>
        <w:t>ny actions the Member has take</w:t>
      </w:r>
      <w:r w:rsidR="00BB6480">
        <w:rPr>
          <w:rFonts w:asciiTheme="minorHAnsi" w:hAnsiTheme="minorHAnsi" w:cs="Arial"/>
          <w:sz w:val="20"/>
          <w:szCs w:val="20"/>
        </w:rPr>
        <w:t>n</w:t>
      </w:r>
      <w:r w:rsidR="002A24A9">
        <w:rPr>
          <w:rFonts w:asciiTheme="minorHAnsi" w:hAnsiTheme="minorHAnsi" w:cs="Arial"/>
          <w:sz w:val="20"/>
          <w:szCs w:val="20"/>
        </w:rPr>
        <w:t xml:space="preserve"> or plans to take</w:t>
      </w:r>
      <w:r w:rsidR="00A9592D">
        <w:rPr>
          <w:rFonts w:asciiTheme="minorHAnsi" w:hAnsiTheme="minorHAnsi" w:cs="Arial"/>
          <w:sz w:val="20"/>
          <w:szCs w:val="20"/>
        </w:rPr>
        <w:t xml:space="preserve"> with respect to the identified relevant issues, and / or any other matters that are relevant to the COP</w:t>
      </w:r>
      <w:r w:rsidR="00BB6480">
        <w:rPr>
          <w:rFonts w:asciiTheme="minorHAnsi" w:hAnsiTheme="minorHAnsi" w:cs="Arial"/>
          <w:sz w:val="20"/>
          <w:szCs w:val="20"/>
        </w:rPr>
        <w:t>.  Note these actions could apply to the Member’s own operations, or could apply more broadly, such as through a Member’s involvement in community initiatives</w:t>
      </w:r>
      <w:bookmarkStart w:id="15" w:name="_GoBack"/>
      <w:bookmarkEnd w:id="15"/>
      <w:r>
        <w:rPr>
          <w:rFonts w:asciiTheme="minorHAnsi" w:hAnsiTheme="minorHAnsi" w:cs="Arial"/>
          <w:sz w:val="20"/>
          <w:szCs w:val="20"/>
        </w:rPr>
        <w:t>.</w:t>
      </w:r>
    </w:p>
    <w:p w:rsidR="00A9592D" w:rsidRPr="001736B7" w:rsidRDefault="00BB6480" w:rsidP="00BB38CD">
      <w:pPr>
        <w:numPr>
          <w:ilvl w:val="1"/>
          <w:numId w:val="1"/>
        </w:numPr>
        <w:rPr>
          <w:rFonts w:asciiTheme="minorHAnsi" w:hAnsiTheme="minorHAnsi" w:cs="Arial"/>
          <w:b/>
          <w:i/>
          <w:sz w:val="20"/>
          <w:szCs w:val="20"/>
        </w:rPr>
      </w:pPr>
      <w:r>
        <w:rPr>
          <w:rFonts w:asciiTheme="minorHAnsi" w:hAnsiTheme="minorHAnsi" w:cs="Arial"/>
          <w:sz w:val="20"/>
          <w:szCs w:val="20"/>
        </w:rPr>
        <w:t>Where possible, quantitative or qualitative outcomes that the actions are expected to achieve</w:t>
      </w:r>
      <w:r w:rsidR="00BB38CD">
        <w:rPr>
          <w:rFonts w:asciiTheme="minorHAnsi" w:hAnsiTheme="minorHAnsi" w:cs="Arial"/>
          <w:sz w:val="20"/>
          <w:szCs w:val="20"/>
        </w:rPr>
        <w:t>.</w:t>
      </w:r>
    </w:p>
    <w:p w:rsidR="001736B7" w:rsidRPr="008B15F3" w:rsidRDefault="001736B7" w:rsidP="00BB38CD">
      <w:pPr>
        <w:numPr>
          <w:ilvl w:val="1"/>
          <w:numId w:val="1"/>
        </w:numPr>
        <w:rPr>
          <w:rFonts w:asciiTheme="minorHAnsi" w:hAnsiTheme="minorHAnsi" w:cs="Arial"/>
          <w:b/>
          <w:i/>
          <w:sz w:val="20"/>
          <w:szCs w:val="20"/>
        </w:rPr>
      </w:pPr>
      <w:r>
        <w:rPr>
          <w:rFonts w:asciiTheme="minorHAnsi" w:hAnsiTheme="minorHAnsi" w:cs="Arial"/>
          <w:sz w:val="20"/>
          <w:szCs w:val="20"/>
        </w:rPr>
        <w:t xml:space="preserve">Where particular issues such as human or labour rights impacts have been raised with the Member by affected stakeholders, the report/communication should aim to </w:t>
      </w:r>
      <w:r w:rsidRPr="001736B7">
        <w:rPr>
          <w:rFonts w:asciiTheme="minorHAnsi" w:hAnsiTheme="minorHAnsi" w:cs="Arial"/>
          <w:sz w:val="20"/>
          <w:szCs w:val="20"/>
          <w:lang w:val="en-AU"/>
        </w:rPr>
        <w:t xml:space="preserve">provide information sufficient to </w:t>
      </w:r>
      <w:r>
        <w:rPr>
          <w:rFonts w:asciiTheme="minorHAnsi" w:hAnsiTheme="minorHAnsi" w:cs="Arial"/>
          <w:sz w:val="20"/>
          <w:szCs w:val="20"/>
          <w:lang w:val="en-AU"/>
        </w:rPr>
        <w:t>assess</w:t>
      </w:r>
      <w:r w:rsidRPr="001736B7">
        <w:rPr>
          <w:rFonts w:asciiTheme="minorHAnsi" w:hAnsiTheme="minorHAnsi" w:cs="Arial"/>
          <w:sz w:val="20"/>
          <w:szCs w:val="20"/>
          <w:lang w:val="en-AU"/>
        </w:rPr>
        <w:t xml:space="preserve"> the adequacy of the</w:t>
      </w:r>
      <w:r>
        <w:rPr>
          <w:rFonts w:asciiTheme="minorHAnsi" w:hAnsiTheme="minorHAnsi" w:cs="Arial"/>
          <w:sz w:val="20"/>
          <w:szCs w:val="20"/>
          <w:lang w:val="en-AU"/>
        </w:rPr>
        <w:t xml:space="preserve"> Member’s</w:t>
      </w:r>
      <w:r w:rsidRPr="001736B7">
        <w:rPr>
          <w:rFonts w:asciiTheme="minorHAnsi" w:hAnsiTheme="minorHAnsi" w:cs="Arial"/>
          <w:sz w:val="20"/>
          <w:szCs w:val="20"/>
          <w:lang w:val="en-AU"/>
        </w:rPr>
        <w:t xml:space="preserve"> response.</w:t>
      </w:r>
    </w:p>
    <w:p w:rsidR="008B15F3" w:rsidRPr="008B15F3" w:rsidRDefault="008B15F3" w:rsidP="008B15F3">
      <w:pPr>
        <w:numPr>
          <w:ilvl w:val="2"/>
          <w:numId w:val="1"/>
        </w:numPr>
        <w:ind w:left="1080"/>
        <w:rPr>
          <w:rFonts w:asciiTheme="minorHAnsi" w:hAnsiTheme="minorHAnsi" w:cs="Arial"/>
          <w:i/>
          <w:sz w:val="20"/>
          <w:szCs w:val="20"/>
        </w:rPr>
      </w:pPr>
      <w:r w:rsidRPr="008B15F3">
        <w:rPr>
          <w:rFonts w:asciiTheme="minorHAnsi" w:hAnsiTheme="minorHAnsi" w:cs="Arial"/>
          <w:i/>
          <w:sz w:val="20"/>
          <w:szCs w:val="20"/>
        </w:rPr>
        <w:t xml:space="preserve">Note:  RJC also welcomes the opportunity to work with Members on case studies for the RJC website.  </w:t>
      </w:r>
    </w:p>
    <w:p w:rsidR="00A9592D" w:rsidRDefault="00A9592D" w:rsidP="00BB38CD">
      <w:pPr>
        <w:ind w:left="1080"/>
        <w:rPr>
          <w:rFonts w:asciiTheme="minorHAnsi" w:hAnsiTheme="minorHAnsi" w:cs="Arial"/>
          <w:b/>
          <w:i/>
          <w:sz w:val="20"/>
          <w:szCs w:val="20"/>
        </w:rPr>
      </w:pPr>
    </w:p>
    <w:p w:rsidR="00CC2E23" w:rsidRDefault="0085535E" w:rsidP="00BB38CD">
      <w:pPr>
        <w:numPr>
          <w:ilvl w:val="1"/>
          <w:numId w:val="1"/>
        </w:numPr>
        <w:ind w:left="360"/>
        <w:rPr>
          <w:rFonts w:asciiTheme="minorHAnsi" w:hAnsiTheme="minorHAnsi" w:cs="Arial"/>
          <w:sz w:val="20"/>
          <w:szCs w:val="20"/>
        </w:rPr>
      </w:pPr>
      <w:r>
        <w:rPr>
          <w:rFonts w:asciiTheme="minorHAnsi" w:hAnsiTheme="minorHAnsi" w:cs="Arial"/>
          <w:b/>
          <w:i/>
          <w:sz w:val="20"/>
          <w:szCs w:val="20"/>
        </w:rPr>
        <w:t>COP 3</w:t>
      </w:r>
      <w:r w:rsidR="00B71F38" w:rsidRPr="00FE78BC">
        <w:rPr>
          <w:rFonts w:asciiTheme="minorHAnsi" w:hAnsiTheme="minorHAnsi" w:cs="Arial"/>
          <w:b/>
          <w:i/>
          <w:sz w:val="20"/>
          <w:szCs w:val="20"/>
        </w:rPr>
        <w:t>.2</w:t>
      </w:r>
      <w:r w:rsidR="008B5CA7">
        <w:rPr>
          <w:rFonts w:asciiTheme="minorHAnsi" w:hAnsiTheme="minorHAnsi" w:cs="Arial"/>
          <w:b/>
          <w:i/>
          <w:sz w:val="20"/>
          <w:szCs w:val="20"/>
        </w:rPr>
        <w:t>:</w:t>
      </w:r>
      <w:r w:rsidR="00B71F38" w:rsidRPr="00FE78BC">
        <w:rPr>
          <w:rFonts w:asciiTheme="minorHAnsi" w:hAnsiTheme="minorHAnsi" w:cs="Arial"/>
          <w:b/>
          <w:i/>
          <w:sz w:val="20"/>
          <w:szCs w:val="20"/>
        </w:rPr>
        <w:t xml:space="preserve"> GRI Mining and Metals Sector Supplement:</w:t>
      </w:r>
      <w:r w:rsidR="005F6A53" w:rsidRPr="005F6A53">
        <w:rPr>
          <w:rFonts w:asciiTheme="minorHAnsi" w:hAnsiTheme="minorHAnsi" w:cs="Arial"/>
          <w:sz w:val="20"/>
          <w:szCs w:val="20"/>
        </w:rPr>
        <w:t xml:space="preserve"> </w:t>
      </w:r>
      <w:r w:rsidR="005F6A53">
        <w:rPr>
          <w:rFonts w:asciiTheme="minorHAnsi" w:hAnsiTheme="minorHAnsi" w:cs="Arial"/>
          <w:sz w:val="20"/>
          <w:szCs w:val="20"/>
        </w:rPr>
        <w:t xml:space="preserve"> </w:t>
      </w:r>
      <w:r w:rsidR="005F6A53" w:rsidRPr="000812FD">
        <w:rPr>
          <w:rFonts w:asciiTheme="minorHAnsi" w:hAnsiTheme="minorHAnsi" w:cs="Arial"/>
          <w:i/>
          <w:iCs/>
          <w:sz w:val="20"/>
          <w:szCs w:val="20"/>
        </w:rPr>
        <w:t>Members with Mining Facilities shall report annually on their sustainability performance using the G</w:t>
      </w:r>
      <w:r w:rsidR="000812FD">
        <w:rPr>
          <w:rFonts w:asciiTheme="minorHAnsi" w:hAnsiTheme="minorHAnsi" w:cs="Arial"/>
          <w:i/>
          <w:iCs/>
          <w:sz w:val="20"/>
          <w:szCs w:val="20"/>
        </w:rPr>
        <w:t>lobal Reporting Initiative (GRI) Guidelines and</w:t>
      </w:r>
      <w:r w:rsidR="005F6A53" w:rsidRPr="000812FD">
        <w:rPr>
          <w:rFonts w:asciiTheme="minorHAnsi" w:hAnsiTheme="minorHAnsi" w:cs="Arial"/>
          <w:i/>
          <w:iCs/>
          <w:sz w:val="20"/>
          <w:szCs w:val="20"/>
        </w:rPr>
        <w:t xml:space="preserve"> GRI Mining and Metals Sector Supplement</w:t>
      </w:r>
      <w:r w:rsidR="000812FD">
        <w:rPr>
          <w:rFonts w:asciiTheme="minorHAnsi" w:hAnsiTheme="minorHAnsi" w:cs="Arial"/>
          <w:i/>
          <w:iCs/>
          <w:sz w:val="20"/>
          <w:szCs w:val="20"/>
        </w:rPr>
        <w:t>. The</w:t>
      </w:r>
      <w:r w:rsidR="00C84D41" w:rsidRPr="000812FD">
        <w:rPr>
          <w:rFonts w:asciiTheme="minorHAnsi" w:hAnsiTheme="minorHAnsi" w:cs="Arial"/>
          <w:i/>
          <w:iCs/>
          <w:sz w:val="20"/>
          <w:szCs w:val="20"/>
        </w:rPr>
        <w:t xml:space="preserve"> reports shall have external assurance</w:t>
      </w:r>
      <w:r w:rsidR="005F6A53" w:rsidRPr="000812FD">
        <w:rPr>
          <w:rFonts w:asciiTheme="minorHAnsi" w:hAnsiTheme="minorHAnsi" w:cs="Arial"/>
          <w:i/>
          <w:iCs/>
          <w:sz w:val="20"/>
          <w:szCs w:val="20"/>
        </w:rPr>
        <w:t>.</w:t>
      </w:r>
      <w:r w:rsidR="005F6A53">
        <w:rPr>
          <w:rFonts w:asciiTheme="minorHAnsi" w:hAnsiTheme="minorHAnsi" w:cs="Arial"/>
          <w:sz w:val="20"/>
          <w:szCs w:val="20"/>
        </w:rPr>
        <w:t xml:space="preserve"> </w:t>
      </w:r>
    </w:p>
    <w:p w:rsidR="00B71F38" w:rsidRPr="005F6A53" w:rsidRDefault="005F6A53" w:rsidP="00CC2E23">
      <w:pPr>
        <w:ind w:left="360"/>
        <w:rPr>
          <w:rFonts w:asciiTheme="minorHAnsi" w:hAnsiTheme="minorHAnsi" w:cs="Arial"/>
          <w:sz w:val="20"/>
          <w:szCs w:val="20"/>
        </w:rPr>
      </w:pPr>
      <w:r w:rsidRPr="009D10F5">
        <w:rPr>
          <w:rFonts w:asciiTheme="minorHAnsi" w:hAnsiTheme="minorHAnsi" w:cs="Arial"/>
          <w:b/>
          <w:bCs/>
          <w:sz w:val="20"/>
          <w:szCs w:val="20"/>
        </w:rPr>
        <w:t>Points to consider:</w:t>
      </w:r>
    </w:p>
    <w:p w:rsidR="00FE78BC" w:rsidRDefault="00A37479" w:rsidP="00BB38CD">
      <w:pPr>
        <w:numPr>
          <w:ilvl w:val="2"/>
          <w:numId w:val="1"/>
        </w:numPr>
        <w:ind w:left="1080"/>
        <w:rPr>
          <w:rFonts w:asciiTheme="minorHAnsi" w:hAnsiTheme="minorHAnsi" w:cs="Arial"/>
          <w:sz w:val="20"/>
          <w:szCs w:val="20"/>
        </w:rPr>
      </w:pPr>
      <w:r>
        <w:rPr>
          <w:rFonts w:asciiTheme="minorHAnsi" w:hAnsiTheme="minorHAnsi" w:cs="Arial"/>
          <w:sz w:val="20"/>
          <w:szCs w:val="20"/>
        </w:rPr>
        <w:t xml:space="preserve">The </w:t>
      </w:r>
      <w:r w:rsidR="00FE78BC">
        <w:rPr>
          <w:rFonts w:asciiTheme="minorHAnsi" w:hAnsiTheme="minorHAnsi" w:cs="Arial"/>
          <w:sz w:val="20"/>
          <w:szCs w:val="20"/>
        </w:rPr>
        <w:t>GRI Supplement provides</w:t>
      </w:r>
      <w:r>
        <w:rPr>
          <w:rFonts w:asciiTheme="minorHAnsi" w:hAnsiTheme="minorHAnsi" w:cs="Arial"/>
          <w:sz w:val="20"/>
          <w:szCs w:val="20"/>
        </w:rPr>
        <w:t xml:space="preserve"> detailed guidance for the preparation of the report, including content, quality, boundary, </w:t>
      </w:r>
      <w:r w:rsidR="00FE78BC">
        <w:rPr>
          <w:rFonts w:asciiTheme="minorHAnsi" w:hAnsiTheme="minorHAnsi" w:cs="Arial"/>
          <w:sz w:val="20"/>
          <w:szCs w:val="20"/>
        </w:rPr>
        <w:t xml:space="preserve">disclosure, </w:t>
      </w:r>
      <w:r>
        <w:rPr>
          <w:rFonts w:asciiTheme="minorHAnsi" w:hAnsiTheme="minorHAnsi" w:cs="Arial"/>
          <w:sz w:val="20"/>
          <w:szCs w:val="20"/>
        </w:rPr>
        <w:t>assurance etc.</w:t>
      </w:r>
      <w:r w:rsidR="00FE78BC">
        <w:rPr>
          <w:rFonts w:asciiTheme="minorHAnsi" w:hAnsiTheme="minorHAnsi" w:cs="Arial"/>
          <w:sz w:val="20"/>
          <w:szCs w:val="20"/>
        </w:rPr>
        <w:t>, and should be followed</w:t>
      </w:r>
      <w:r w:rsidR="00913716">
        <w:rPr>
          <w:rFonts w:asciiTheme="minorHAnsi" w:hAnsiTheme="minorHAnsi" w:cs="Arial"/>
          <w:sz w:val="20"/>
          <w:szCs w:val="20"/>
        </w:rPr>
        <w:t>.</w:t>
      </w:r>
    </w:p>
    <w:p w:rsidR="00B71F38" w:rsidRDefault="00A37479" w:rsidP="00BB38CD">
      <w:pPr>
        <w:numPr>
          <w:ilvl w:val="2"/>
          <w:numId w:val="1"/>
        </w:numPr>
        <w:ind w:left="1080"/>
        <w:rPr>
          <w:rFonts w:asciiTheme="minorHAnsi" w:hAnsiTheme="minorHAnsi" w:cs="Arial"/>
          <w:sz w:val="20"/>
          <w:szCs w:val="20"/>
        </w:rPr>
      </w:pPr>
      <w:r>
        <w:rPr>
          <w:rFonts w:asciiTheme="minorHAnsi" w:hAnsiTheme="minorHAnsi" w:cs="Arial"/>
          <w:sz w:val="20"/>
          <w:szCs w:val="20"/>
        </w:rPr>
        <w:t xml:space="preserve"> </w:t>
      </w:r>
      <w:r w:rsidR="00FE78BC">
        <w:rPr>
          <w:rFonts w:asciiTheme="minorHAnsi" w:hAnsiTheme="minorHAnsi" w:cs="Arial"/>
          <w:sz w:val="20"/>
          <w:szCs w:val="20"/>
        </w:rPr>
        <w:t>A responsible senior manage</w:t>
      </w:r>
      <w:r w:rsidR="00913716">
        <w:rPr>
          <w:rFonts w:asciiTheme="minorHAnsi" w:hAnsiTheme="minorHAnsi" w:cs="Arial"/>
          <w:sz w:val="20"/>
          <w:szCs w:val="20"/>
        </w:rPr>
        <w:t>r</w:t>
      </w:r>
      <w:r w:rsidR="00FE78BC" w:rsidRPr="003902BA">
        <w:rPr>
          <w:rFonts w:asciiTheme="minorHAnsi" w:hAnsiTheme="minorHAnsi" w:cs="Arial"/>
          <w:sz w:val="20"/>
          <w:szCs w:val="20"/>
        </w:rPr>
        <w:t xml:space="preserve"> should </w:t>
      </w:r>
      <w:r w:rsidR="00FE78BC">
        <w:rPr>
          <w:rFonts w:asciiTheme="minorHAnsi" w:hAnsiTheme="minorHAnsi" w:cs="Arial"/>
          <w:sz w:val="20"/>
          <w:szCs w:val="20"/>
        </w:rPr>
        <w:t xml:space="preserve">be appointed to </w:t>
      </w:r>
      <w:r w:rsidR="00FE78BC" w:rsidRPr="003902BA">
        <w:rPr>
          <w:rFonts w:asciiTheme="minorHAnsi" w:hAnsiTheme="minorHAnsi" w:cs="Arial"/>
          <w:sz w:val="20"/>
          <w:szCs w:val="20"/>
        </w:rPr>
        <w:t>oversee the report content, strategies for report quality, data collection and external assurance</w:t>
      </w:r>
      <w:r w:rsidR="00913716">
        <w:rPr>
          <w:rFonts w:asciiTheme="minorHAnsi" w:hAnsiTheme="minorHAnsi" w:cs="Arial"/>
          <w:sz w:val="20"/>
          <w:szCs w:val="20"/>
        </w:rPr>
        <w:t>.</w:t>
      </w:r>
    </w:p>
    <w:p w:rsidR="00FE78BC" w:rsidRPr="003902BA" w:rsidRDefault="00FE78BC" w:rsidP="00BB38CD">
      <w:pPr>
        <w:numPr>
          <w:ilvl w:val="2"/>
          <w:numId w:val="1"/>
        </w:numPr>
        <w:ind w:left="1080"/>
        <w:rPr>
          <w:rFonts w:asciiTheme="minorHAnsi" w:hAnsiTheme="minorHAnsi" w:cs="Arial"/>
          <w:b/>
          <w:i/>
          <w:sz w:val="20"/>
          <w:szCs w:val="20"/>
        </w:rPr>
      </w:pPr>
      <w:r w:rsidRPr="003902BA">
        <w:rPr>
          <w:rFonts w:asciiTheme="minorHAnsi" w:hAnsiTheme="minorHAnsi" w:cs="Arial"/>
          <w:sz w:val="20"/>
          <w:szCs w:val="20"/>
        </w:rPr>
        <w:t>Opportunities for harmonisation of reporting should be identified, for example:</w:t>
      </w:r>
    </w:p>
    <w:p w:rsidR="00FE78BC" w:rsidRPr="003902BA" w:rsidRDefault="00FE78BC" w:rsidP="00BB38CD">
      <w:pPr>
        <w:numPr>
          <w:ilvl w:val="3"/>
          <w:numId w:val="12"/>
        </w:numPr>
        <w:ind w:left="1800"/>
        <w:rPr>
          <w:rFonts w:asciiTheme="minorHAnsi" w:hAnsiTheme="minorHAnsi" w:cs="Arial"/>
          <w:b/>
          <w:i/>
          <w:sz w:val="20"/>
          <w:szCs w:val="20"/>
        </w:rPr>
      </w:pPr>
      <w:r w:rsidRPr="003902BA">
        <w:rPr>
          <w:rFonts w:asciiTheme="minorHAnsi" w:hAnsiTheme="minorHAnsi" w:cs="Arial"/>
          <w:sz w:val="20"/>
          <w:szCs w:val="20"/>
        </w:rPr>
        <w:t>annual financial reporting</w:t>
      </w:r>
    </w:p>
    <w:p w:rsidR="00FE78BC" w:rsidRPr="003902BA" w:rsidRDefault="00FE78BC" w:rsidP="00BB38CD">
      <w:pPr>
        <w:numPr>
          <w:ilvl w:val="3"/>
          <w:numId w:val="12"/>
        </w:numPr>
        <w:ind w:left="1800"/>
        <w:rPr>
          <w:rFonts w:asciiTheme="minorHAnsi" w:hAnsiTheme="minorHAnsi" w:cs="Arial"/>
          <w:b/>
          <w:i/>
          <w:sz w:val="20"/>
          <w:szCs w:val="20"/>
        </w:rPr>
      </w:pPr>
      <w:r w:rsidRPr="003902BA">
        <w:rPr>
          <w:rFonts w:asciiTheme="minorHAnsi" w:hAnsiTheme="minorHAnsi" w:cs="Arial"/>
          <w:sz w:val="20"/>
          <w:szCs w:val="20"/>
        </w:rPr>
        <w:t>communicating progress under the Global Compact</w:t>
      </w:r>
    </w:p>
    <w:p w:rsidR="00FE78BC" w:rsidRPr="003902BA" w:rsidRDefault="00FE78BC" w:rsidP="00BB38CD">
      <w:pPr>
        <w:numPr>
          <w:ilvl w:val="3"/>
          <w:numId w:val="12"/>
        </w:numPr>
        <w:ind w:left="1800"/>
        <w:rPr>
          <w:rFonts w:asciiTheme="minorHAnsi" w:hAnsiTheme="minorHAnsi" w:cs="Arial"/>
          <w:b/>
          <w:i/>
          <w:sz w:val="20"/>
          <w:szCs w:val="20"/>
        </w:rPr>
      </w:pPr>
      <w:r w:rsidRPr="003902BA">
        <w:rPr>
          <w:rFonts w:asciiTheme="minorHAnsi" w:hAnsiTheme="minorHAnsi" w:cs="Arial"/>
          <w:sz w:val="20"/>
          <w:szCs w:val="20"/>
        </w:rPr>
        <w:t>disclosing revenues under the Extractive Industries Transparency Initiative</w:t>
      </w:r>
    </w:p>
    <w:p w:rsidR="00FE78BC" w:rsidRPr="003902BA" w:rsidRDefault="00FE78BC" w:rsidP="00BB38CD">
      <w:pPr>
        <w:numPr>
          <w:ilvl w:val="3"/>
          <w:numId w:val="12"/>
        </w:numPr>
        <w:ind w:left="1800"/>
        <w:rPr>
          <w:rFonts w:asciiTheme="minorHAnsi" w:hAnsiTheme="minorHAnsi" w:cs="Arial"/>
          <w:b/>
          <w:i/>
          <w:sz w:val="20"/>
          <w:szCs w:val="20"/>
        </w:rPr>
      </w:pPr>
      <w:r w:rsidRPr="003902BA">
        <w:rPr>
          <w:rFonts w:asciiTheme="minorHAnsi" w:hAnsiTheme="minorHAnsi" w:cs="Arial"/>
          <w:sz w:val="20"/>
          <w:szCs w:val="20"/>
        </w:rPr>
        <w:t>business contributions to the Millennium Development Goals</w:t>
      </w:r>
    </w:p>
    <w:p w:rsidR="00FE78BC" w:rsidRPr="003902BA" w:rsidRDefault="00FE78BC" w:rsidP="00BB38CD">
      <w:pPr>
        <w:numPr>
          <w:ilvl w:val="3"/>
          <w:numId w:val="12"/>
        </w:numPr>
        <w:ind w:left="1800"/>
        <w:rPr>
          <w:rFonts w:asciiTheme="minorHAnsi" w:hAnsiTheme="minorHAnsi" w:cs="Arial"/>
          <w:b/>
          <w:i/>
          <w:sz w:val="20"/>
          <w:szCs w:val="20"/>
        </w:rPr>
      </w:pPr>
      <w:r w:rsidRPr="003902BA">
        <w:rPr>
          <w:rFonts w:asciiTheme="minorHAnsi" w:hAnsiTheme="minorHAnsi" w:cs="Arial"/>
          <w:sz w:val="20"/>
          <w:szCs w:val="20"/>
        </w:rPr>
        <w:t>stakeholder, community and employee engagement processes</w:t>
      </w:r>
    </w:p>
    <w:p w:rsidR="00FE78BC" w:rsidRPr="003902BA" w:rsidRDefault="00FE78BC" w:rsidP="00BB38CD">
      <w:pPr>
        <w:numPr>
          <w:ilvl w:val="3"/>
          <w:numId w:val="12"/>
        </w:numPr>
        <w:ind w:left="1800"/>
        <w:rPr>
          <w:rFonts w:asciiTheme="minorHAnsi" w:hAnsiTheme="minorHAnsi" w:cs="Arial"/>
          <w:b/>
          <w:i/>
          <w:sz w:val="20"/>
          <w:szCs w:val="20"/>
        </w:rPr>
      </w:pPr>
      <w:r w:rsidRPr="003902BA">
        <w:rPr>
          <w:rFonts w:asciiTheme="minorHAnsi" w:hAnsiTheme="minorHAnsi" w:cs="Arial"/>
          <w:sz w:val="20"/>
          <w:szCs w:val="20"/>
        </w:rPr>
        <w:t>regulatory reporting</w:t>
      </w:r>
    </w:p>
    <w:p w:rsidR="00FE78BC" w:rsidRPr="003902BA" w:rsidRDefault="00FE78BC" w:rsidP="00BB38CD">
      <w:pPr>
        <w:numPr>
          <w:ilvl w:val="3"/>
          <w:numId w:val="12"/>
        </w:numPr>
        <w:ind w:left="1800"/>
        <w:rPr>
          <w:rFonts w:asciiTheme="minorHAnsi" w:hAnsiTheme="minorHAnsi" w:cs="Arial"/>
          <w:b/>
          <w:i/>
          <w:sz w:val="20"/>
          <w:szCs w:val="20"/>
        </w:rPr>
      </w:pPr>
      <w:r w:rsidRPr="003902BA">
        <w:rPr>
          <w:rFonts w:asciiTheme="minorHAnsi" w:hAnsiTheme="minorHAnsi" w:cs="Arial"/>
          <w:sz w:val="20"/>
          <w:szCs w:val="20"/>
        </w:rPr>
        <w:t>information f</w:t>
      </w:r>
      <w:r>
        <w:rPr>
          <w:rFonts w:asciiTheme="minorHAnsi" w:hAnsiTheme="minorHAnsi" w:cs="Arial"/>
          <w:sz w:val="20"/>
          <w:szCs w:val="20"/>
        </w:rPr>
        <w:t>or ethical investment markets</w:t>
      </w:r>
    </w:p>
    <w:p w:rsidR="00FE78BC" w:rsidRDefault="00FE78BC" w:rsidP="00BB38CD">
      <w:pPr>
        <w:numPr>
          <w:ilvl w:val="2"/>
          <w:numId w:val="1"/>
        </w:numPr>
        <w:ind w:left="1080"/>
        <w:rPr>
          <w:rFonts w:asciiTheme="minorHAnsi" w:hAnsiTheme="minorHAnsi" w:cs="Arial"/>
          <w:sz w:val="20"/>
          <w:szCs w:val="20"/>
        </w:rPr>
      </w:pPr>
      <w:r w:rsidRPr="003902BA">
        <w:rPr>
          <w:rFonts w:asciiTheme="minorHAnsi" w:hAnsiTheme="minorHAnsi" w:cs="Arial"/>
          <w:sz w:val="20"/>
          <w:szCs w:val="20"/>
        </w:rPr>
        <w:lastRenderedPageBreak/>
        <w:t xml:space="preserve">Systems for data collection, integrity and verification should be established and </w:t>
      </w:r>
      <w:r>
        <w:rPr>
          <w:rFonts w:asciiTheme="minorHAnsi" w:hAnsiTheme="minorHAnsi" w:cs="Arial"/>
          <w:sz w:val="20"/>
          <w:szCs w:val="20"/>
        </w:rPr>
        <w:t>coordinat</w:t>
      </w:r>
      <w:r w:rsidRPr="003902BA">
        <w:rPr>
          <w:rFonts w:asciiTheme="minorHAnsi" w:hAnsiTheme="minorHAnsi" w:cs="Arial"/>
          <w:sz w:val="20"/>
          <w:szCs w:val="20"/>
        </w:rPr>
        <w:t>ed with existing management systems</w:t>
      </w:r>
      <w:r w:rsidR="00913716">
        <w:rPr>
          <w:rFonts w:asciiTheme="minorHAnsi" w:hAnsiTheme="minorHAnsi" w:cs="Arial"/>
          <w:sz w:val="20"/>
          <w:szCs w:val="20"/>
        </w:rPr>
        <w:t>.</w:t>
      </w:r>
    </w:p>
    <w:p w:rsidR="00FE78BC" w:rsidRDefault="00FE78BC" w:rsidP="00BB38CD">
      <w:pPr>
        <w:numPr>
          <w:ilvl w:val="2"/>
          <w:numId w:val="1"/>
        </w:numPr>
        <w:ind w:left="1080"/>
        <w:rPr>
          <w:rFonts w:asciiTheme="minorHAnsi" w:hAnsiTheme="minorHAnsi" w:cs="Arial"/>
          <w:sz w:val="20"/>
          <w:szCs w:val="20"/>
        </w:rPr>
      </w:pPr>
      <w:r w:rsidRPr="003902BA">
        <w:rPr>
          <w:rFonts w:asciiTheme="minorHAnsi" w:hAnsiTheme="minorHAnsi" w:cs="Arial"/>
          <w:sz w:val="20"/>
          <w:szCs w:val="20"/>
        </w:rPr>
        <w:t>Reports should prepare information for all three types of disclosures – strategy and profile, management approach, and performance indicators – addressing all core indicators for economic, environmental, social performance, labour, human rights, society, and product responsibility in the G3 Guidelines and Mini</w:t>
      </w:r>
      <w:r>
        <w:rPr>
          <w:rFonts w:asciiTheme="minorHAnsi" w:hAnsiTheme="minorHAnsi" w:cs="Arial"/>
          <w:sz w:val="20"/>
          <w:szCs w:val="20"/>
        </w:rPr>
        <w:t>ng and Metals Sector Supplement</w:t>
      </w:r>
      <w:r w:rsidR="00913716">
        <w:rPr>
          <w:rFonts w:asciiTheme="minorHAnsi" w:hAnsiTheme="minorHAnsi" w:cs="Arial"/>
          <w:sz w:val="20"/>
          <w:szCs w:val="20"/>
        </w:rPr>
        <w:t>.</w:t>
      </w:r>
    </w:p>
    <w:p w:rsidR="00FE78BC" w:rsidRDefault="00FE78BC" w:rsidP="00BB38CD">
      <w:pPr>
        <w:numPr>
          <w:ilvl w:val="2"/>
          <w:numId w:val="1"/>
        </w:numPr>
        <w:ind w:left="1080"/>
        <w:rPr>
          <w:rFonts w:asciiTheme="minorHAnsi" w:hAnsiTheme="minorHAnsi" w:cs="Arial"/>
          <w:sz w:val="20"/>
          <w:szCs w:val="20"/>
        </w:rPr>
      </w:pPr>
      <w:r w:rsidRPr="003902BA">
        <w:rPr>
          <w:rFonts w:asciiTheme="minorHAnsi" w:hAnsiTheme="minorHAnsi" w:cs="Arial"/>
          <w:sz w:val="20"/>
          <w:szCs w:val="20"/>
        </w:rPr>
        <w:t>Reports should disclose their approach to external assurance (</w:t>
      </w:r>
      <w:r>
        <w:rPr>
          <w:rFonts w:asciiTheme="minorHAnsi" w:hAnsiTheme="minorHAnsi" w:cs="Arial"/>
          <w:sz w:val="20"/>
          <w:szCs w:val="20"/>
        </w:rPr>
        <w:t>see GRI Guidelines for details)</w:t>
      </w:r>
    </w:p>
    <w:p w:rsidR="00FE78BC" w:rsidRDefault="00FE78BC" w:rsidP="005F6A53">
      <w:pPr>
        <w:numPr>
          <w:ilvl w:val="2"/>
          <w:numId w:val="1"/>
        </w:numPr>
        <w:rPr>
          <w:rFonts w:asciiTheme="minorHAnsi" w:hAnsiTheme="minorHAnsi" w:cs="Arial"/>
          <w:sz w:val="20"/>
          <w:szCs w:val="20"/>
        </w:rPr>
      </w:pPr>
      <w:r>
        <w:rPr>
          <w:rFonts w:asciiTheme="minorHAnsi" w:hAnsiTheme="minorHAnsi" w:cs="Arial"/>
          <w:sz w:val="20"/>
          <w:szCs w:val="20"/>
        </w:rPr>
        <w:t>Key stakeholder</w:t>
      </w:r>
      <w:r w:rsidRPr="003902BA">
        <w:rPr>
          <w:rFonts w:asciiTheme="minorHAnsi" w:hAnsiTheme="minorHAnsi" w:cs="Arial"/>
          <w:sz w:val="20"/>
          <w:szCs w:val="20"/>
        </w:rPr>
        <w:t>s, including local and affected communities at a Facility level, should be able to access Member’s reports and/or a summary of their content in appropriate languages and formats, in addit</w:t>
      </w:r>
      <w:r>
        <w:rPr>
          <w:rFonts w:asciiTheme="minorHAnsi" w:hAnsiTheme="minorHAnsi" w:cs="Arial"/>
          <w:sz w:val="20"/>
          <w:szCs w:val="20"/>
        </w:rPr>
        <w:t>ion to any site-based reporting</w:t>
      </w:r>
      <w:r w:rsidR="00913716">
        <w:rPr>
          <w:rFonts w:asciiTheme="minorHAnsi" w:hAnsiTheme="minorHAnsi" w:cs="Arial"/>
          <w:sz w:val="20"/>
          <w:szCs w:val="20"/>
        </w:rPr>
        <w:t>.</w:t>
      </w:r>
    </w:p>
    <w:p w:rsidR="00FE78BC" w:rsidRDefault="00FE78BC" w:rsidP="005F6A53">
      <w:pPr>
        <w:numPr>
          <w:ilvl w:val="2"/>
          <w:numId w:val="1"/>
        </w:numPr>
        <w:rPr>
          <w:rFonts w:asciiTheme="minorHAnsi" w:hAnsiTheme="minorHAnsi" w:cs="Arial"/>
          <w:sz w:val="20"/>
          <w:szCs w:val="20"/>
        </w:rPr>
      </w:pPr>
      <w:r w:rsidRPr="003902BA">
        <w:rPr>
          <w:rFonts w:asciiTheme="minorHAnsi" w:hAnsiTheme="minorHAnsi" w:cs="Arial"/>
          <w:sz w:val="20"/>
          <w:szCs w:val="20"/>
        </w:rPr>
        <w:t>Reports should be made available on the external website, and in hard copy if appropriate</w:t>
      </w:r>
      <w:r w:rsidR="00913716">
        <w:rPr>
          <w:rFonts w:asciiTheme="minorHAnsi" w:hAnsiTheme="minorHAnsi" w:cs="Arial"/>
          <w:sz w:val="20"/>
          <w:szCs w:val="20"/>
        </w:rPr>
        <w:t>.</w:t>
      </w:r>
    </w:p>
    <w:p w:rsidR="001736B7" w:rsidRDefault="001736B7" w:rsidP="005F6A53">
      <w:pPr>
        <w:numPr>
          <w:ilvl w:val="2"/>
          <w:numId w:val="1"/>
        </w:numPr>
        <w:rPr>
          <w:rFonts w:asciiTheme="minorHAnsi" w:hAnsiTheme="minorHAnsi" w:cs="Arial"/>
          <w:sz w:val="20"/>
          <w:szCs w:val="20"/>
        </w:rPr>
      </w:pPr>
      <w:r>
        <w:rPr>
          <w:rFonts w:asciiTheme="minorHAnsi" w:hAnsiTheme="minorHAnsi" w:cs="Arial"/>
          <w:sz w:val="20"/>
          <w:szCs w:val="20"/>
        </w:rPr>
        <w:t xml:space="preserve">RJC does not specify an Application Level (A, B or C), but does require external assurance of whichever Level is chosen (i.e. A+, B+ or C+).  </w:t>
      </w:r>
      <w:r w:rsidRPr="001736B7">
        <w:rPr>
          <w:rFonts w:asciiTheme="minorHAnsi" w:hAnsiTheme="minorHAnsi" w:cs="Arial"/>
          <w:sz w:val="20"/>
          <w:szCs w:val="20"/>
          <w:lang w:val="en-AU"/>
        </w:rPr>
        <w:t>Members may elect the GRI Application Level appropriate to their business</w:t>
      </w:r>
      <w:r>
        <w:rPr>
          <w:rFonts w:asciiTheme="minorHAnsi" w:hAnsiTheme="minorHAnsi" w:cs="Arial"/>
          <w:sz w:val="20"/>
          <w:szCs w:val="20"/>
          <w:lang w:val="en-AU"/>
        </w:rPr>
        <w:t>.</w:t>
      </w:r>
    </w:p>
    <w:p w:rsidR="00913716" w:rsidRDefault="00913716" w:rsidP="00913716">
      <w:pPr>
        <w:numPr>
          <w:ilvl w:val="1"/>
          <w:numId w:val="1"/>
        </w:numPr>
        <w:rPr>
          <w:rFonts w:asciiTheme="minorHAnsi" w:hAnsiTheme="minorHAnsi" w:cs="Arial"/>
          <w:i/>
          <w:sz w:val="20"/>
          <w:szCs w:val="20"/>
        </w:rPr>
      </w:pPr>
      <w:r w:rsidRPr="00913716">
        <w:rPr>
          <w:rFonts w:asciiTheme="minorHAnsi" w:hAnsiTheme="minorHAnsi" w:cs="Arial"/>
          <w:i/>
          <w:sz w:val="20"/>
          <w:szCs w:val="20"/>
        </w:rPr>
        <w:t xml:space="preserve">Note:  Members in the Mining Sector automatically comply with </w:t>
      </w:r>
      <w:r w:rsidR="00F6081B">
        <w:rPr>
          <w:rFonts w:asciiTheme="minorHAnsi" w:hAnsiTheme="minorHAnsi" w:cs="Arial"/>
          <w:i/>
          <w:sz w:val="20"/>
          <w:szCs w:val="20"/>
        </w:rPr>
        <w:t>3</w:t>
      </w:r>
      <w:r w:rsidRPr="00913716">
        <w:rPr>
          <w:rFonts w:asciiTheme="minorHAnsi" w:hAnsiTheme="minorHAnsi" w:cs="Arial"/>
          <w:i/>
          <w:sz w:val="20"/>
          <w:szCs w:val="20"/>
        </w:rPr>
        <w:t xml:space="preserve">.1 by complying with </w:t>
      </w:r>
      <w:r w:rsidR="00F6081B">
        <w:rPr>
          <w:rFonts w:asciiTheme="minorHAnsi" w:hAnsiTheme="minorHAnsi" w:cs="Arial"/>
          <w:i/>
          <w:sz w:val="20"/>
          <w:szCs w:val="20"/>
        </w:rPr>
        <w:t>3</w:t>
      </w:r>
      <w:r w:rsidRPr="00913716">
        <w:rPr>
          <w:rFonts w:asciiTheme="minorHAnsi" w:hAnsiTheme="minorHAnsi" w:cs="Arial"/>
          <w:i/>
          <w:sz w:val="20"/>
          <w:szCs w:val="20"/>
        </w:rPr>
        <w:t>.2.</w:t>
      </w:r>
      <w:r>
        <w:rPr>
          <w:rFonts w:asciiTheme="minorHAnsi" w:hAnsiTheme="minorHAnsi" w:cs="Arial"/>
          <w:i/>
          <w:sz w:val="20"/>
          <w:szCs w:val="20"/>
        </w:rPr>
        <w:t xml:space="preserve">  </w:t>
      </w:r>
    </w:p>
    <w:p w:rsidR="00937684" w:rsidRPr="00913716" w:rsidRDefault="00937684" w:rsidP="00937684">
      <w:pPr>
        <w:ind w:left="1440"/>
        <w:rPr>
          <w:rFonts w:asciiTheme="minorHAnsi" w:hAnsiTheme="minorHAnsi" w:cs="Arial"/>
          <w:i/>
          <w:sz w:val="20"/>
          <w:szCs w:val="20"/>
        </w:rPr>
      </w:pPr>
    </w:p>
    <w:p w:rsidR="00640BB7" w:rsidRDefault="008F4E06" w:rsidP="00FE78BC">
      <w:pPr>
        <w:ind w:left="360"/>
        <w:rPr>
          <w:rFonts w:asciiTheme="minorHAnsi" w:hAnsiTheme="minorHAnsi" w:cs="Arial"/>
          <w:b/>
          <w:sz w:val="28"/>
          <w:szCs w:val="28"/>
        </w:rPr>
      </w:pPr>
      <w:r w:rsidRPr="008F4E06">
        <w:rPr>
          <w:rFonts w:asciiTheme="minorHAnsi" w:hAnsiTheme="minorHAnsi" w:cs="Arial"/>
          <w:b/>
          <w:noProof/>
          <w:sz w:val="28"/>
          <w:szCs w:val="28"/>
          <w:lang w:val="en-AU" w:eastAsia="en-AU"/>
        </w:rPr>
        <w:pict>
          <v:shapetype id="_x0000_t202" coordsize="21600,21600" o:spt="202" path="m,l,21600r21600,l21600,xe">
            <v:stroke joinstyle="miter"/>
            <v:path gradientshapeok="t" o:connecttype="rect"/>
          </v:shapetype>
          <v:shape id="_x0000_s1027" type="#_x0000_t202" style="position:absolute;left:0;text-align:left;margin-left:-5.35pt;margin-top:6.55pt;width:431.75pt;height:64.3pt;z-index:-251658752;mso-height-percent:200;mso-height-percent:200;mso-width-relative:margin;mso-height-relative:margin" wrapcoords="-98 -72 -98 21528 21698 21528 21698 -72 -98 -72" fillcolor="#fde9d9 [665]">
            <v:textbox style="mso-next-textbox:#_x0000_s1027;mso-fit-shape-to-text:t">
              <w:txbxContent>
                <w:p w:rsidR="00937684" w:rsidRDefault="00937684" w:rsidP="00937684">
                  <w:pPr>
                    <w:shd w:val="clear" w:color="auto" w:fill="FDE9D9" w:themeFill="accent6" w:themeFillTint="33"/>
                    <w:rPr>
                      <w:rFonts w:asciiTheme="minorHAnsi" w:hAnsiTheme="minorHAnsi" w:cs="Arial"/>
                      <w:b/>
                      <w:sz w:val="18"/>
                      <w:szCs w:val="20"/>
                      <w:lang w:val="en-US"/>
                    </w:rPr>
                  </w:pPr>
                  <w:r>
                    <w:rPr>
                      <w:rFonts w:asciiTheme="minorHAnsi" w:hAnsiTheme="minorHAnsi" w:cs="Arial"/>
                      <w:b/>
                      <w:sz w:val="18"/>
                      <w:szCs w:val="20"/>
                      <w:lang w:val="en-US"/>
                    </w:rPr>
                    <w:t>Check:</w:t>
                  </w:r>
                </w:p>
                <w:p w:rsidR="00937684" w:rsidRDefault="00937684" w:rsidP="00937684">
                  <w:pPr>
                    <w:pStyle w:val="ListParagraph"/>
                    <w:numPr>
                      <w:ilvl w:val="0"/>
                      <w:numId w:val="13"/>
                    </w:numPr>
                    <w:shd w:val="clear" w:color="auto" w:fill="FDE9D9" w:themeFill="accent6" w:themeFillTint="33"/>
                    <w:ind w:left="360"/>
                    <w:rPr>
                      <w:rFonts w:asciiTheme="minorHAnsi" w:hAnsiTheme="minorHAnsi" w:cs="Arial"/>
                      <w:sz w:val="18"/>
                      <w:szCs w:val="20"/>
                      <w:lang w:val="en-US"/>
                    </w:rPr>
                  </w:pPr>
                  <w:r>
                    <w:rPr>
                      <w:rFonts w:asciiTheme="minorHAnsi" w:hAnsiTheme="minorHAnsi" w:cs="Arial"/>
                      <w:sz w:val="18"/>
                      <w:szCs w:val="20"/>
                      <w:lang w:val="en-US"/>
                    </w:rPr>
                    <w:t>All Members:  d</w:t>
                  </w:r>
                  <w:r w:rsidRPr="00F14924">
                    <w:rPr>
                      <w:rFonts w:asciiTheme="minorHAnsi" w:hAnsiTheme="minorHAnsi" w:cs="Arial"/>
                      <w:sz w:val="18"/>
                      <w:szCs w:val="20"/>
                      <w:lang w:val="en-US"/>
                    </w:rPr>
                    <w:t xml:space="preserve">o you </w:t>
                  </w:r>
                  <w:r>
                    <w:rPr>
                      <w:rFonts w:asciiTheme="minorHAnsi" w:hAnsiTheme="minorHAnsi" w:cs="Arial"/>
                      <w:sz w:val="18"/>
                      <w:szCs w:val="20"/>
                      <w:lang w:val="en-US"/>
                    </w:rPr>
                    <w:t>communicate at least annually to relevant stakeholders about your business practices?</w:t>
                  </w:r>
                </w:p>
                <w:p w:rsidR="00937684" w:rsidRPr="00F14924" w:rsidRDefault="00937684" w:rsidP="00937684">
                  <w:pPr>
                    <w:pStyle w:val="ListParagraph"/>
                    <w:numPr>
                      <w:ilvl w:val="0"/>
                      <w:numId w:val="13"/>
                    </w:numPr>
                    <w:shd w:val="clear" w:color="auto" w:fill="FDE9D9" w:themeFill="accent6" w:themeFillTint="33"/>
                    <w:ind w:left="360"/>
                    <w:rPr>
                      <w:rFonts w:asciiTheme="minorHAnsi" w:hAnsiTheme="minorHAnsi" w:cs="Arial"/>
                      <w:sz w:val="18"/>
                      <w:szCs w:val="20"/>
                      <w:lang w:val="en-US"/>
                    </w:rPr>
                  </w:pPr>
                  <w:r>
                    <w:rPr>
                      <w:rFonts w:asciiTheme="minorHAnsi" w:hAnsiTheme="minorHAnsi" w:cs="Arial"/>
                      <w:sz w:val="18"/>
                      <w:szCs w:val="20"/>
                      <w:lang w:val="en-US"/>
                    </w:rPr>
                    <w:t>Members in the Mining Sector: do you prepare an annual sustainability report according to GRI Guidelines?</w:t>
                  </w:r>
                </w:p>
              </w:txbxContent>
            </v:textbox>
            <w10:wrap type="tight"/>
          </v:shape>
        </w:pict>
      </w:r>
    </w:p>
    <w:p w:rsidR="00937684" w:rsidRDefault="00937684" w:rsidP="00FE78BC">
      <w:pPr>
        <w:ind w:left="360"/>
        <w:rPr>
          <w:rFonts w:asciiTheme="minorHAnsi" w:hAnsiTheme="minorHAnsi" w:cs="Arial"/>
          <w:b/>
          <w:sz w:val="28"/>
          <w:szCs w:val="28"/>
        </w:rPr>
      </w:pPr>
    </w:p>
    <w:p w:rsidR="00937684" w:rsidRDefault="00937684" w:rsidP="00FE78BC">
      <w:pPr>
        <w:ind w:left="360"/>
        <w:rPr>
          <w:rFonts w:asciiTheme="minorHAnsi" w:hAnsiTheme="minorHAnsi" w:cs="Arial"/>
          <w:b/>
          <w:sz w:val="28"/>
          <w:szCs w:val="28"/>
        </w:rPr>
      </w:pPr>
    </w:p>
    <w:p w:rsidR="00937684" w:rsidRPr="00FE78BC" w:rsidRDefault="00937684" w:rsidP="00937684">
      <w:pPr>
        <w:rPr>
          <w:rFonts w:asciiTheme="minorHAnsi" w:hAnsiTheme="minorHAnsi"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tblPr>
      <w:tblGrid>
        <w:gridCol w:w="8522"/>
      </w:tblGrid>
      <w:tr w:rsidR="00640BB7" w:rsidRPr="007F7CB8" w:rsidTr="00A31DF6">
        <w:tc>
          <w:tcPr>
            <w:tcW w:w="8522" w:type="dxa"/>
            <w:shd w:val="clear" w:color="auto" w:fill="C4BC96" w:themeFill="background2" w:themeFillShade="BF"/>
          </w:tcPr>
          <w:p w:rsidR="00640BB7" w:rsidRPr="007F7CB8" w:rsidRDefault="00040CA1" w:rsidP="00640BB7">
            <w:pPr>
              <w:numPr>
                <w:ilvl w:val="0"/>
                <w:numId w:val="6"/>
              </w:numPr>
              <w:rPr>
                <w:rFonts w:asciiTheme="minorHAnsi" w:hAnsiTheme="minorHAnsi" w:cs="Arial"/>
                <w:b/>
              </w:rPr>
            </w:pPr>
            <w:r w:rsidRPr="00040CA1">
              <w:rPr>
                <w:rFonts w:asciiTheme="minorHAnsi" w:hAnsiTheme="minorHAnsi" w:cs="Arial"/>
                <w:b/>
              </w:rPr>
              <w:t>Further information</w:t>
            </w:r>
          </w:p>
        </w:tc>
      </w:tr>
    </w:tbl>
    <w:p w:rsidR="00640BB7" w:rsidRPr="007F7CB8" w:rsidRDefault="00640BB7" w:rsidP="00640BB7">
      <w:pPr>
        <w:rPr>
          <w:rFonts w:asciiTheme="minorHAnsi" w:hAnsiTheme="minorHAnsi" w:cs="Arial"/>
          <w:b/>
        </w:rPr>
      </w:pPr>
    </w:p>
    <w:p w:rsidR="00640BB7" w:rsidRPr="007F7CB8" w:rsidRDefault="00040CA1" w:rsidP="00640BB7">
      <w:pPr>
        <w:rPr>
          <w:rFonts w:asciiTheme="minorHAnsi" w:hAnsiTheme="minorHAnsi" w:cs="Arial"/>
          <w:sz w:val="20"/>
          <w:szCs w:val="20"/>
        </w:rPr>
      </w:pPr>
      <w:r w:rsidRPr="00040CA1">
        <w:rPr>
          <w:rFonts w:asciiTheme="minorHAnsi" w:hAnsiTheme="minorHAnsi" w:cs="Arial"/>
          <w:sz w:val="20"/>
          <w:szCs w:val="20"/>
        </w:rPr>
        <w:t>The following websites have further information on sustainability and public reporting:</w:t>
      </w:r>
    </w:p>
    <w:p w:rsidR="00640BB7" w:rsidRPr="007F7CB8" w:rsidRDefault="00640BB7" w:rsidP="00640BB7">
      <w:pPr>
        <w:rPr>
          <w:rFonts w:asciiTheme="minorHAnsi" w:hAnsiTheme="minorHAnsi" w:cs="Arial"/>
          <w:sz w:val="20"/>
          <w:szCs w:val="20"/>
        </w:rPr>
      </w:pPr>
    </w:p>
    <w:p w:rsidR="00D55EFD" w:rsidRDefault="00D55EFD" w:rsidP="00D55EFD">
      <w:pPr>
        <w:numPr>
          <w:ilvl w:val="0"/>
          <w:numId w:val="2"/>
        </w:numPr>
        <w:rPr>
          <w:rFonts w:asciiTheme="minorHAnsi" w:hAnsiTheme="minorHAnsi" w:cs="Arial"/>
          <w:sz w:val="20"/>
          <w:szCs w:val="20"/>
        </w:rPr>
      </w:pPr>
      <w:r>
        <w:rPr>
          <w:rFonts w:asciiTheme="minorHAnsi" w:hAnsiTheme="minorHAnsi" w:cs="Arial"/>
          <w:sz w:val="20"/>
          <w:szCs w:val="20"/>
        </w:rPr>
        <w:t>CorporateRegister.com</w:t>
      </w:r>
    </w:p>
    <w:p w:rsidR="00335BF6" w:rsidRDefault="00D55EFD">
      <w:pPr>
        <w:ind w:left="720"/>
        <w:rPr>
          <w:rFonts w:asciiTheme="minorHAnsi" w:hAnsiTheme="minorHAnsi" w:cs="Arial"/>
          <w:sz w:val="20"/>
          <w:szCs w:val="20"/>
        </w:rPr>
      </w:pPr>
      <w:r w:rsidRPr="00D55EFD">
        <w:rPr>
          <w:rFonts w:asciiTheme="minorHAnsi" w:hAnsiTheme="minorHAnsi" w:cs="Arial"/>
          <w:sz w:val="20"/>
          <w:szCs w:val="20"/>
        </w:rPr>
        <w:t>www.corporateregister.com/</w:t>
      </w:r>
    </w:p>
    <w:p w:rsidR="00640BB7" w:rsidRPr="007F7CB8" w:rsidRDefault="00040CA1" w:rsidP="00640BB7">
      <w:pPr>
        <w:numPr>
          <w:ilvl w:val="0"/>
          <w:numId w:val="2"/>
        </w:numPr>
        <w:rPr>
          <w:rFonts w:asciiTheme="minorHAnsi" w:hAnsiTheme="minorHAnsi" w:cs="Arial"/>
          <w:sz w:val="20"/>
          <w:szCs w:val="20"/>
        </w:rPr>
      </w:pPr>
      <w:r w:rsidRPr="00040CA1">
        <w:rPr>
          <w:rFonts w:asciiTheme="minorHAnsi" w:hAnsiTheme="minorHAnsi" w:cs="Arial"/>
          <w:sz w:val="20"/>
          <w:szCs w:val="20"/>
        </w:rPr>
        <w:t>Global Reporting Initiative (GRI)</w:t>
      </w:r>
    </w:p>
    <w:p w:rsidR="00640BB7" w:rsidRDefault="008F4E06" w:rsidP="00640BB7">
      <w:pPr>
        <w:ind w:left="720"/>
        <w:rPr>
          <w:rFonts w:asciiTheme="minorHAnsi" w:hAnsiTheme="minorHAnsi" w:cs="Arial"/>
          <w:sz w:val="20"/>
          <w:szCs w:val="20"/>
        </w:rPr>
      </w:pPr>
      <w:hyperlink r:id="rId9" w:history="1">
        <w:r w:rsidR="00083584" w:rsidRPr="00716032">
          <w:rPr>
            <w:rStyle w:val="Hyperlink"/>
            <w:rFonts w:asciiTheme="minorHAnsi" w:hAnsiTheme="minorHAnsi" w:cs="Arial"/>
            <w:sz w:val="20"/>
            <w:szCs w:val="20"/>
          </w:rPr>
          <w:t>www.globalreporting.org/Pages/default.aspx</w:t>
        </w:r>
      </w:hyperlink>
    </w:p>
    <w:p w:rsidR="00640BB7" w:rsidRPr="007F7CB8" w:rsidRDefault="00040CA1" w:rsidP="00640BB7">
      <w:pPr>
        <w:numPr>
          <w:ilvl w:val="0"/>
          <w:numId w:val="2"/>
        </w:numPr>
        <w:rPr>
          <w:rFonts w:asciiTheme="minorHAnsi" w:hAnsiTheme="minorHAnsi" w:cs="Arial"/>
          <w:sz w:val="20"/>
          <w:szCs w:val="20"/>
        </w:rPr>
      </w:pPr>
      <w:r w:rsidRPr="00040CA1">
        <w:rPr>
          <w:rFonts w:asciiTheme="minorHAnsi" w:hAnsiTheme="minorHAnsi" w:cs="Arial"/>
          <w:sz w:val="20"/>
          <w:szCs w:val="20"/>
        </w:rPr>
        <w:t>G</w:t>
      </w:r>
      <w:r w:rsidR="00083584">
        <w:rPr>
          <w:rFonts w:asciiTheme="minorHAnsi" w:hAnsiTheme="minorHAnsi" w:cs="Arial"/>
          <w:sz w:val="20"/>
          <w:szCs w:val="20"/>
        </w:rPr>
        <w:t>lobal Reporting Initiative (G</w:t>
      </w:r>
      <w:r w:rsidRPr="00040CA1">
        <w:rPr>
          <w:rFonts w:asciiTheme="minorHAnsi" w:hAnsiTheme="minorHAnsi" w:cs="Arial"/>
          <w:sz w:val="20"/>
          <w:szCs w:val="20"/>
        </w:rPr>
        <w:t>RI</w:t>
      </w:r>
      <w:r w:rsidR="00083584">
        <w:rPr>
          <w:rFonts w:asciiTheme="minorHAnsi" w:hAnsiTheme="minorHAnsi" w:cs="Arial"/>
          <w:sz w:val="20"/>
          <w:szCs w:val="20"/>
        </w:rPr>
        <w:t>)</w:t>
      </w:r>
      <w:r w:rsidRPr="00040CA1">
        <w:rPr>
          <w:rFonts w:asciiTheme="minorHAnsi" w:hAnsiTheme="minorHAnsi" w:cs="Arial"/>
          <w:sz w:val="20"/>
          <w:szCs w:val="20"/>
        </w:rPr>
        <w:t xml:space="preserve"> G3</w:t>
      </w:r>
      <w:r w:rsidR="00083584">
        <w:rPr>
          <w:rFonts w:asciiTheme="minorHAnsi" w:hAnsiTheme="minorHAnsi" w:cs="Arial"/>
          <w:sz w:val="20"/>
          <w:szCs w:val="20"/>
        </w:rPr>
        <w:t xml:space="preserve">.1 Guidelines </w:t>
      </w:r>
    </w:p>
    <w:p w:rsidR="00083584" w:rsidRDefault="008F4E06" w:rsidP="00083584">
      <w:pPr>
        <w:ind w:left="720"/>
        <w:rPr>
          <w:rFonts w:asciiTheme="minorHAnsi" w:hAnsiTheme="minorHAnsi" w:cs="Arial"/>
          <w:sz w:val="20"/>
          <w:szCs w:val="20"/>
        </w:rPr>
      </w:pPr>
      <w:hyperlink r:id="rId10" w:history="1">
        <w:r w:rsidR="00083584" w:rsidRPr="00716032">
          <w:rPr>
            <w:rStyle w:val="Hyperlink"/>
            <w:rFonts w:asciiTheme="minorHAnsi" w:hAnsiTheme="minorHAnsi" w:cs="Arial"/>
            <w:sz w:val="20"/>
            <w:szCs w:val="20"/>
          </w:rPr>
          <w:t>www.globalreporting.org/reporting/latest-guidelines/g3-1-guidelines/Pages/default.aspx</w:t>
        </w:r>
      </w:hyperlink>
    </w:p>
    <w:p w:rsidR="00640BB7" w:rsidRPr="007F7CB8" w:rsidRDefault="00040CA1" w:rsidP="00640BB7">
      <w:pPr>
        <w:numPr>
          <w:ilvl w:val="0"/>
          <w:numId w:val="2"/>
        </w:numPr>
        <w:rPr>
          <w:rFonts w:asciiTheme="minorHAnsi" w:hAnsiTheme="minorHAnsi" w:cs="Arial"/>
          <w:sz w:val="20"/>
          <w:szCs w:val="20"/>
        </w:rPr>
      </w:pPr>
      <w:r w:rsidRPr="00040CA1">
        <w:rPr>
          <w:rFonts w:asciiTheme="minorHAnsi" w:hAnsiTheme="minorHAnsi" w:cs="Arial"/>
          <w:sz w:val="20"/>
          <w:szCs w:val="20"/>
        </w:rPr>
        <w:t>I</w:t>
      </w:r>
      <w:r w:rsidR="00083584">
        <w:rPr>
          <w:rFonts w:asciiTheme="minorHAnsi" w:hAnsiTheme="minorHAnsi" w:cs="Arial"/>
          <w:sz w:val="20"/>
          <w:szCs w:val="20"/>
        </w:rPr>
        <w:t>nternational Council on Mining and Metals (I</w:t>
      </w:r>
      <w:r w:rsidRPr="00040CA1">
        <w:rPr>
          <w:rFonts w:asciiTheme="minorHAnsi" w:hAnsiTheme="minorHAnsi" w:cs="Arial"/>
          <w:sz w:val="20"/>
          <w:szCs w:val="20"/>
        </w:rPr>
        <w:t>CMM</w:t>
      </w:r>
      <w:r w:rsidR="00083584">
        <w:rPr>
          <w:rFonts w:asciiTheme="minorHAnsi" w:hAnsiTheme="minorHAnsi" w:cs="Arial"/>
          <w:sz w:val="20"/>
          <w:szCs w:val="20"/>
        </w:rPr>
        <w:t>)</w:t>
      </w:r>
      <w:r w:rsidR="00C92B90">
        <w:rPr>
          <w:rFonts w:asciiTheme="minorHAnsi" w:hAnsiTheme="minorHAnsi" w:cs="Arial"/>
          <w:sz w:val="20"/>
          <w:szCs w:val="20"/>
        </w:rPr>
        <w:t xml:space="preserve"> -</w:t>
      </w:r>
      <w:r w:rsidRPr="00040CA1">
        <w:rPr>
          <w:rFonts w:asciiTheme="minorHAnsi" w:hAnsiTheme="minorHAnsi" w:cs="Arial"/>
          <w:sz w:val="20"/>
          <w:szCs w:val="20"/>
        </w:rPr>
        <w:t xml:space="preserve"> Sustainable Development Framework – Public Reporting</w:t>
      </w:r>
    </w:p>
    <w:p w:rsidR="00640BB7" w:rsidRPr="007F7CB8" w:rsidRDefault="008F4E06" w:rsidP="00640BB7">
      <w:pPr>
        <w:ind w:left="720"/>
        <w:rPr>
          <w:rFonts w:asciiTheme="minorHAnsi" w:hAnsiTheme="minorHAnsi" w:cs="Arial"/>
          <w:sz w:val="20"/>
          <w:szCs w:val="20"/>
        </w:rPr>
      </w:pPr>
      <w:hyperlink r:id="rId11" w:history="1">
        <w:r w:rsidR="00040CA1" w:rsidRPr="00040CA1">
          <w:rPr>
            <w:rStyle w:val="Hyperlink"/>
            <w:rFonts w:asciiTheme="minorHAnsi" w:hAnsiTheme="minorHAnsi" w:cs="Arial"/>
            <w:sz w:val="20"/>
            <w:szCs w:val="20"/>
          </w:rPr>
          <w:t>www.icmm.com/our-work/sustainable-development-framework/public-reporting</w:t>
        </w:r>
      </w:hyperlink>
      <w:r w:rsidR="00040CA1" w:rsidRPr="00040CA1">
        <w:rPr>
          <w:rFonts w:asciiTheme="minorHAnsi" w:hAnsiTheme="minorHAnsi" w:cs="Arial"/>
          <w:sz w:val="20"/>
          <w:szCs w:val="20"/>
        </w:rPr>
        <w:t xml:space="preserve">   </w:t>
      </w:r>
    </w:p>
    <w:p w:rsidR="00640BB7" w:rsidRPr="007F7CB8" w:rsidRDefault="00040CA1" w:rsidP="00640BB7">
      <w:pPr>
        <w:numPr>
          <w:ilvl w:val="0"/>
          <w:numId w:val="2"/>
        </w:numPr>
        <w:rPr>
          <w:rFonts w:asciiTheme="minorHAnsi" w:hAnsiTheme="minorHAnsi" w:cs="Arial"/>
          <w:sz w:val="20"/>
          <w:szCs w:val="20"/>
        </w:rPr>
      </w:pPr>
      <w:r w:rsidRPr="00040CA1">
        <w:rPr>
          <w:rFonts w:asciiTheme="minorHAnsi" w:hAnsiTheme="minorHAnsi" w:cs="Arial"/>
          <w:sz w:val="20"/>
          <w:szCs w:val="20"/>
        </w:rPr>
        <w:t>I</w:t>
      </w:r>
      <w:r w:rsidR="00C92B90">
        <w:rPr>
          <w:rFonts w:asciiTheme="minorHAnsi" w:hAnsiTheme="minorHAnsi" w:cs="Arial"/>
          <w:sz w:val="20"/>
          <w:szCs w:val="20"/>
        </w:rPr>
        <w:t>nternational Council on Mining and Metals (I</w:t>
      </w:r>
      <w:r w:rsidRPr="00040CA1">
        <w:rPr>
          <w:rFonts w:asciiTheme="minorHAnsi" w:hAnsiTheme="minorHAnsi" w:cs="Arial"/>
          <w:sz w:val="20"/>
          <w:szCs w:val="20"/>
        </w:rPr>
        <w:t>CMM</w:t>
      </w:r>
      <w:r w:rsidR="00C92B90">
        <w:rPr>
          <w:rFonts w:asciiTheme="minorHAnsi" w:hAnsiTheme="minorHAnsi" w:cs="Arial"/>
          <w:sz w:val="20"/>
          <w:szCs w:val="20"/>
        </w:rPr>
        <w:t xml:space="preserve">) </w:t>
      </w:r>
      <w:r w:rsidR="00C64868">
        <w:rPr>
          <w:rFonts w:asciiTheme="minorHAnsi" w:hAnsiTheme="minorHAnsi" w:cs="Arial"/>
          <w:sz w:val="20"/>
          <w:szCs w:val="20"/>
        </w:rPr>
        <w:t>–</w:t>
      </w:r>
      <w:r w:rsidR="00C92B90">
        <w:rPr>
          <w:rFonts w:asciiTheme="minorHAnsi" w:hAnsiTheme="minorHAnsi" w:cs="Arial"/>
          <w:sz w:val="20"/>
          <w:szCs w:val="20"/>
        </w:rPr>
        <w:t xml:space="preserve"> </w:t>
      </w:r>
      <w:r w:rsidR="00C64868">
        <w:rPr>
          <w:rFonts w:asciiTheme="minorHAnsi" w:hAnsiTheme="minorHAnsi" w:cs="Arial"/>
          <w:sz w:val="20"/>
          <w:szCs w:val="20"/>
        </w:rPr>
        <w:t xml:space="preserve">Sustainable Development Framework - </w:t>
      </w:r>
      <w:r w:rsidRPr="00040CA1">
        <w:rPr>
          <w:rFonts w:asciiTheme="minorHAnsi" w:hAnsiTheme="minorHAnsi" w:cs="Arial"/>
          <w:sz w:val="20"/>
          <w:szCs w:val="20"/>
        </w:rPr>
        <w:t>Assurance Procedure</w:t>
      </w:r>
      <w:r w:rsidR="00C64868">
        <w:rPr>
          <w:rFonts w:asciiTheme="minorHAnsi" w:hAnsiTheme="minorHAnsi" w:cs="Arial"/>
          <w:sz w:val="20"/>
          <w:szCs w:val="20"/>
        </w:rPr>
        <w:t xml:space="preserve"> (2008)</w:t>
      </w:r>
    </w:p>
    <w:p w:rsidR="00640BB7" w:rsidRDefault="008F4E06" w:rsidP="00640BB7">
      <w:pPr>
        <w:ind w:left="720"/>
        <w:rPr>
          <w:rFonts w:asciiTheme="minorHAnsi" w:hAnsiTheme="minorHAnsi" w:cs="Arial"/>
          <w:sz w:val="20"/>
          <w:szCs w:val="20"/>
        </w:rPr>
      </w:pPr>
      <w:hyperlink r:id="rId12" w:history="1">
        <w:r w:rsidR="00040CA1" w:rsidRPr="00040CA1">
          <w:rPr>
            <w:rStyle w:val="Hyperlink"/>
            <w:rFonts w:asciiTheme="minorHAnsi" w:hAnsiTheme="minorHAnsi" w:cs="Arial"/>
            <w:sz w:val="20"/>
            <w:szCs w:val="20"/>
          </w:rPr>
          <w:t>www.icmm.com/document/439</w:t>
        </w:r>
      </w:hyperlink>
      <w:r w:rsidR="00040CA1" w:rsidRPr="00040CA1">
        <w:rPr>
          <w:rFonts w:asciiTheme="minorHAnsi" w:hAnsiTheme="minorHAnsi" w:cs="Arial"/>
          <w:sz w:val="20"/>
          <w:szCs w:val="20"/>
        </w:rPr>
        <w:t xml:space="preserve"> </w:t>
      </w:r>
    </w:p>
    <w:p w:rsidR="00E2253F" w:rsidRPr="005A0D91" w:rsidRDefault="00040CA1" w:rsidP="00E2253F">
      <w:pPr>
        <w:numPr>
          <w:ilvl w:val="0"/>
          <w:numId w:val="2"/>
        </w:numPr>
        <w:rPr>
          <w:rFonts w:asciiTheme="minorHAnsi" w:hAnsiTheme="minorHAnsi" w:cs="Arial"/>
          <w:sz w:val="20"/>
          <w:szCs w:val="20"/>
        </w:rPr>
      </w:pPr>
      <w:r w:rsidRPr="00040CA1">
        <w:rPr>
          <w:rFonts w:asciiTheme="minorHAnsi" w:hAnsiTheme="minorHAnsi" w:cs="Arial"/>
          <w:sz w:val="20"/>
          <w:szCs w:val="20"/>
        </w:rPr>
        <w:t>KPMG</w:t>
      </w:r>
      <w:r w:rsidR="00E2253F">
        <w:rPr>
          <w:rFonts w:asciiTheme="minorHAnsi" w:hAnsiTheme="minorHAnsi" w:cs="Arial"/>
          <w:sz w:val="20"/>
          <w:szCs w:val="20"/>
        </w:rPr>
        <w:t xml:space="preserve"> - </w:t>
      </w:r>
      <w:r w:rsidR="00E2253F" w:rsidRPr="005A0D91">
        <w:rPr>
          <w:rFonts w:asciiTheme="minorHAnsi" w:hAnsiTheme="minorHAnsi" w:cs="Arial"/>
          <w:sz w:val="20"/>
          <w:szCs w:val="20"/>
        </w:rPr>
        <w:t>KPMG International Survey of Corporate Responsibility Reporting (</w:t>
      </w:r>
      <w:r w:rsidRPr="00040CA1">
        <w:rPr>
          <w:rFonts w:asciiTheme="minorHAnsi" w:hAnsiTheme="minorHAnsi" w:cs="Arial"/>
          <w:sz w:val="20"/>
          <w:szCs w:val="20"/>
        </w:rPr>
        <w:t>20</w:t>
      </w:r>
      <w:r w:rsidR="00E2253F" w:rsidRPr="005A0D91">
        <w:rPr>
          <w:rFonts w:asciiTheme="minorHAnsi" w:hAnsiTheme="minorHAnsi" w:cs="Arial"/>
          <w:sz w:val="20"/>
          <w:szCs w:val="20"/>
        </w:rPr>
        <w:t>11)</w:t>
      </w:r>
    </w:p>
    <w:p w:rsidR="00E2253F" w:rsidRDefault="008F4E06" w:rsidP="00E2253F">
      <w:pPr>
        <w:ind w:left="720"/>
        <w:rPr>
          <w:rFonts w:asciiTheme="minorHAnsi" w:hAnsiTheme="minorHAnsi" w:cs="Arial"/>
          <w:sz w:val="20"/>
          <w:szCs w:val="20"/>
        </w:rPr>
      </w:pPr>
      <w:hyperlink r:id="rId13" w:history="1">
        <w:r w:rsidR="00E2253F" w:rsidRPr="00716032">
          <w:rPr>
            <w:rStyle w:val="Hyperlink"/>
            <w:rFonts w:asciiTheme="minorHAnsi" w:hAnsiTheme="minorHAnsi" w:cs="Arial"/>
            <w:sz w:val="20"/>
            <w:szCs w:val="20"/>
          </w:rPr>
          <w:t>www.kpmg.com/NL/en/Issues-And-Insights/ArticlesPublications/Pages/KPMG-International-Survey-of-Corporate-Responsibility-Reporting-2011.aspx</w:t>
        </w:r>
      </w:hyperlink>
    </w:p>
    <w:p w:rsidR="005C4069" w:rsidRPr="00715732" w:rsidRDefault="005C4069" w:rsidP="005C4069">
      <w:pPr>
        <w:numPr>
          <w:ilvl w:val="0"/>
          <w:numId w:val="10"/>
        </w:numPr>
        <w:rPr>
          <w:rFonts w:asciiTheme="minorHAnsi" w:hAnsiTheme="minorHAnsi" w:cs="Arial"/>
          <w:sz w:val="20"/>
          <w:szCs w:val="20"/>
        </w:rPr>
      </w:pPr>
      <w:r w:rsidRPr="00715732">
        <w:rPr>
          <w:rFonts w:asciiTheme="minorHAnsi" w:hAnsiTheme="minorHAnsi" w:cs="Arial"/>
          <w:sz w:val="20"/>
          <w:szCs w:val="20"/>
        </w:rPr>
        <w:t>OECD Due Diligence Guidance on the Responsible Supply Chains of Minerals from Confli</w:t>
      </w:r>
      <w:r>
        <w:rPr>
          <w:rFonts w:asciiTheme="minorHAnsi" w:hAnsiTheme="minorHAnsi" w:cs="Arial"/>
          <w:sz w:val="20"/>
          <w:szCs w:val="20"/>
        </w:rPr>
        <w:t>ct-Affected and High-Risk Areas, Second Edition (2012)</w:t>
      </w:r>
    </w:p>
    <w:p w:rsidR="005C4069" w:rsidRDefault="008F4E06" w:rsidP="005C4069">
      <w:pPr>
        <w:ind w:left="720"/>
        <w:rPr>
          <w:rFonts w:asciiTheme="minorHAnsi" w:hAnsiTheme="minorHAnsi" w:cs="Arial"/>
          <w:sz w:val="20"/>
          <w:szCs w:val="20"/>
        </w:rPr>
      </w:pPr>
      <w:hyperlink r:id="rId14" w:history="1">
        <w:r w:rsidR="005C4069" w:rsidRPr="00FD56DF">
          <w:rPr>
            <w:rStyle w:val="Hyperlink"/>
            <w:rFonts w:asciiTheme="minorHAnsi" w:hAnsiTheme="minorHAnsi" w:cs="Arial"/>
            <w:sz w:val="20"/>
            <w:szCs w:val="20"/>
          </w:rPr>
          <w:t>www.oecd.org/fr/daf/inv/mne/mining.htm</w:t>
        </w:r>
      </w:hyperlink>
      <w:r w:rsidR="005C4069" w:rsidRPr="00715732">
        <w:rPr>
          <w:rFonts w:asciiTheme="minorHAnsi" w:hAnsiTheme="minorHAnsi" w:cs="Arial"/>
          <w:sz w:val="20"/>
          <w:szCs w:val="20"/>
        </w:rPr>
        <w:t xml:space="preserve"> </w:t>
      </w:r>
    </w:p>
    <w:p w:rsidR="00640BB7" w:rsidRPr="007F7CB8" w:rsidRDefault="000A5DB2" w:rsidP="00640BB7">
      <w:pPr>
        <w:numPr>
          <w:ilvl w:val="0"/>
          <w:numId w:val="2"/>
        </w:numPr>
        <w:rPr>
          <w:rFonts w:asciiTheme="minorHAnsi" w:hAnsiTheme="minorHAnsi" w:cs="Arial"/>
          <w:sz w:val="20"/>
          <w:szCs w:val="20"/>
        </w:rPr>
      </w:pPr>
      <w:r>
        <w:rPr>
          <w:rFonts w:asciiTheme="minorHAnsi" w:hAnsiTheme="minorHAnsi" w:cs="Arial"/>
          <w:sz w:val="20"/>
          <w:szCs w:val="20"/>
        </w:rPr>
        <w:t xml:space="preserve">The </w:t>
      </w:r>
      <w:r w:rsidR="00040CA1" w:rsidRPr="00040CA1">
        <w:rPr>
          <w:rFonts w:asciiTheme="minorHAnsi" w:hAnsiTheme="minorHAnsi" w:cs="Arial"/>
          <w:sz w:val="20"/>
          <w:szCs w:val="20"/>
        </w:rPr>
        <w:t>International Corpo</w:t>
      </w:r>
      <w:r>
        <w:rPr>
          <w:rFonts w:asciiTheme="minorHAnsi" w:hAnsiTheme="minorHAnsi" w:cs="Arial"/>
          <w:sz w:val="20"/>
          <w:szCs w:val="20"/>
        </w:rPr>
        <w:t>rate Sustainability Reporting Site</w:t>
      </w:r>
    </w:p>
    <w:p w:rsidR="00640BB7" w:rsidRPr="007F7CB8" w:rsidRDefault="008F4E06" w:rsidP="00640BB7">
      <w:pPr>
        <w:ind w:left="720"/>
        <w:rPr>
          <w:rFonts w:asciiTheme="minorHAnsi" w:hAnsiTheme="minorHAnsi" w:cs="Arial"/>
          <w:sz w:val="20"/>
          <w:szCs w:val="20"/>
        </w:rPr>
      </w:pPr>
      <w:hyperlink r:id="rId15" w:history="1">
        <w:r w:rsidR="00040CA1" w:rsidRPr="00040CA1">
          <w:rPr>
            <w:rStyle w:val="Hyperlink"/>
            <w:rFonts w:asciiTheme="minorHAnsi" w:hAnsiTheme="minorHAnsi" w:cs="Arial"/>
            <w:sz w:val="20"/>
            <w:szCs w:val="20"/>
          </w:rPr>
          <w:t>www.enviroreporting.com/</w:t>
        </w:r>
      </w:hyperlink>
      <w:r w:rsidR="00040CA1" w:rsidRPr="00040CA1">
        <w:rPr>
          <w:rFonts w:asciiTheme="minorHAnsi" w:hAnsiTheme="minorHAnsi" w:cs="Arial"/>
          <w:sz w:val="20"/>
          <w:szCs w:val="20"/>
        </w:rPr>
        <w:t xml:space="preserve"> </w:t>
      </w:r>
    </w:p>
    <w:p w:rsidR="00E2253F" w:rsidRPr="007F7CB8" w:rsidRDefault="00040CA1" w:rsidP="00E2253F">
      <w:pPr>
        <w:numPr>
          <w:ilvl w:val="0"/>
          <w:numId w:val="2"/>
        </w:numPr>
        <w:rPr>
          <w:rFonts w:asciiTheme="minorHAnsi" w:hAnsiTheme="minorHAnsi" w:cs="Arial"/>
          <w:sz w:val="20"/>
          <w:szCs w:val="20"/>
        </w:rPr>
      </w:pPr>
      <w:r w:rsidRPr="00040CA1">
        <w:rPr>
          <w:rFonts w:asciiTheme="minorHAnsi" w:hAnsiTheme="minorHAnsi" w:cs="Arial"/>
          <w:sz w:val="20"/>
          <w:szCs w:val="20"/>
        </w:rPr>
        <w:t>United Nations Global Compact – Communicating Progress</w:t>
      </w:r>
    </w:p>
    <w:p w:rsidR="00E2253F" w:rsidRDefault="008F4E06" w:rsidP="00E2253F">
      <w:pPr>
        <w:ind w:left="720"/>
        <w:rPr>
          <w:rFonts w:asciiTheme="minorHAnsi" w:hAnsiTheme="minorHAnsi" w:cs="Arial"/>
          <w:sz w:val="20"/>
          <w:szCs w:val="20"/>
        </w:rPr>
      </w:pPr>
      <w:hyperlink r:id="rId16" w:history="1">
        <w:r w:rsidR="00040CA1" w:rsidRPr="00040CA1">
          <w:rPr>
            <w:rStyle w:val="Hyperlink"/>
            <w:rFonts w:asciiTheme="minorHAnsi" w:hAnsiTheme="minorHAnsi" w:cs="Arial"/>
            <w:sz w:val="20"/>
            <w:szCs w:val="20"/>
          </w:rPr>
          <w:t>www.unglobalcompact.org/COP/index.html</w:t>
        </w:r>
      </w:hyperlink>
      <w:r w:rsidR="00040CA1" w:rsidRPr="00040CA1">
        <w:rPr>
          <w:rFonts w:asciiTheme="minorHAnsi" w:hAnsiTheme="minorHAnsi" w:cs="Arial"/>
          <w:sz w:val="20"/>
          <w:szCs w:val="20"/>
        </w:rPr>
        <w:t xml:space="preserve"> </w:t>
      </w:r>
    </w:p>
    <w:p w:rsidR="00640BB7" w:rsidRPr="007F7CB8" w:rsidRDefault="00640BB7" w:rsidP="00640BB7">
      <w:pPr>
        <w:rPr>
          <w:rFonts w:asciiTheme="minorHAnsi" w:hAnsiTheme="minorHAnsi" w:cs="Arial"/>
          <w:b/>
          <w:sz w:val="28"/>
          <w:szCs w:val="28"/>
        </w:rPr>
      </w:pPr>
    </w:p>
    <w:p w:rsidR="002D03CE" w:rsidRDefault="002D03CE"/>
    <w:sectPr w:rsidR="002D03CE" w:rsidSect="002D03C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Pro-Regular">
    <w:panose1 w:val="00000000000000000000"/>
    <w:charset w:val="00"/>
    <w:family w:val="auto"/>
    <w:notTrueType/>
    <w:pitch w:val="default"/>
    <w:sig w:usb0="00000003" w:usb1="00000000" w:usb2="00000000" w:usb3="00000000" w:csb0="00000001" w:csb1="00000000"/>
  </w:font>
  <w:font w:name="DIN-Regular">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050F"/>
    <w:multiLevelType w:val="hybridMultilevel"/>
    <w:tmpl w:val="64D49E06"/>
    <w:lvl w:ilvl="0" w:tplc="08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0447DF"/>
    <w:multiLevelType w:val="hybridMultilevel"/>
    <w:tmpl w:val="D17278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193F05"/>
    <w:multiLevelType w:val="hybridMultilevel"/>
    <w:tmpl w:val="CAF8374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AAB716D"/>
    <w:multiLevelType w:val="hybridMultilevel"/>
    <w:tmpl w:val="F6326CB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61F24D3"/>
    <w:multiLevelType w:val="hybridMultilevel"/>
    <w:tmpl w:val="8D9E5454"/>
    <w:lvl w:ilvl="0" w:tplc="08090001">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A065747"/>
    <w:multiLevelType w:val="hybridMultilevel"/>
    <w:tmpl w:val="06903300"/>
    <w:lvl w:ilvl="0" w:tplc="10090001">
      <w:start w:val="1"/>
      <w:numFmt w:val="bullet"/>
      <w:lvlText w:val=""/>
      <w:lvlJc w:val="left"/>
      <w:pPr>
        <w:ind w:left="764" w:hanging="360"/>
      </w:pPr>
      <w:rPr>
        <w:rFonts w:ascii="Symbol" w:hAnsi="Symbol" w:hint="default"/>
      </w:rPr>
    </w:lvl>
    <w:lvl w:ilvl="1" w:tplc="10090003" w:tentative="1">
      <w:start w:val="1"/>
      <w:numFmt w:val="bullet"/>
      <w:lvlText w:val="o"/>
      <w:lvlJc w:val="left"/>
      <w:pPr>
        <w:ind w:left="1484" w:hanging="360"/>
      </w:pPr>
      <w:rPr>
        <w:rFonts w:ascii="Courier New" w:hAnsi="Courier New" w:cs="Courier New" w:hint="default"/>
      </w:rPr>
    </w:lvl>
    <w:lvl w:ilvl="2" w:tplc="10090005" w:tentative="1">
      <w:start w:val="1"/>
      <w:numFmt w:val="bullet"/>
      <w:lvlText w:val=""/>
      <w:lvlJc w:val="left"/>
      <w:pPr>
        <w:ind w:left="2204" w:hanging="360"/>
      </w:pPr>
      <w:rPr>
        <w:rFonts w:ascii="Wingdings" w:hAnsi="Wingdings" w:hint="default"/>
      </w:rPr>
    </w:lvl>
    <w:lvl w:ilvl="3" w:tplc="10090001" w:tentative="1">
      <w:start w:val="1"/>
      <w:numFmt w:val="bullet"/>
      <w:lvlText w:val=""/>
      <w:lvlJc w:val="left"/>
      <w:pPr>
        <w:ind w:left="2924" w:hanging="360"/>
      </w:pPr>
      <w:rPr>
        <w:rFonts w:ascii="Symbol" w:hAnsi="Symbol" w:hint="default"/>
      </w:rPr>
    </w:lvl>
    <w:lvl w:ilvl="4" w:tplc="10090003" w:tentative="1">
      <w:start w:val="1"/>
      <w:numFmt w:val="bullet"/>
      <w:lvlText w:val="o"/>
      <w:lvlJc w:val="left"/>
      <w:pPr>
        <w:ind w:left="3644" w:hanging="360"/>
      </w:pPr>
      <w:rPr>
        <w:rFonts w:ascii="Courier New" w:hAnsi="Courier New" w:cs="Courier New" w:hint="default"/>
      </w:rPr>
    </w:lvl>
    <w:lvl w:ilvl="5" w:tplc="10090005" w:tentative="1">
      <w:start w:val="1"/>
      <w:numFmt w:val="bullet"/>
      <w:lvlText w:val=""/>
      <w:lvlJc w:val="left"/>
      <w:pPr>
        <w:ind w:left="4364" w:hanging="360"/>
      </w:pPr>
      <w:rPr>
        <w:rFonts w:ascii="Wingdings" w:hAnsi="Wingdings" w:hint="default"/>
      </w:rPr>
    </w:lvl>
    <w:lvl w:ilvl="6" w:tplc="10090001" w:tentative="1">
      <w:start w:val="1"/>
      <w:numFmt w:val="bullet"/>
      <w:lvlText w:val=""/>
      <w:lvlJc w:val="left"/>
      <w:pPr>
        <w:ind w:left="5084" w:hanging="360"/>
      </w:pPr>
      <w:rPr>
        <w:rFonts w:ascii="Symbol" w:hAnsi="Symbol" w:hint="default"/>
      </w:rPr>
    </w:lvl>
    <w:lvl w:ilvl="7" w:tplc="10090003" w:tentative="1">
      <w:start w:val="1"/>
      <w:numFmt w:val="bullet"/>
      <w:lvlText w:val="o"/>
      <w:lvlJc w:val="left"/>
      <w:pPr>
        <w:ind w:left="5804" w:hanging="360"/>
      </w:pPr>
      <w:rPr>
        <w:rFonts w:ascii="Courier New" w:hAnsi="Courier New" w:cs="Courier New" w:hint="default"/>
      </w:rPr>
    </w:lvl>
    <w:lvl w:ilvl="8" w:tplc="10090005" w:tentative="1">
      <w:start w:val="1"/>
      <w:numFmt w:val="bullet"/>
      <w:lvlText w:val=""/>
      <w:lvlJc w:val="left"/>
      <w:pPr>
        <w:ind w:left="6524" w:hanging="360"/>
      </w:pPr>
      <w:rPr>
        <w:rFonts w:ascii="Wingdings" w:hAnsi="Wingdings" w:hint="default"/>
      </w:rPr>
    </w:lvl>
  </w:abstractNum>
  <w:abstractNum w:abstractNumId="6">
    <w:nsid w:val="5DA14515"/>
    <w:multiLevelType w:val="hybridMultilevel"/>
    <w:tmpl w:val="143C8F52"/>
    <w:lvl w:ilvl="0" w:tplc="3C248C28">
      <w:start w:val="1"/>
      <w:numFmt w:val="bullet"/>
      <w:lvlText w:val=""/>
      <w:lvlJc w:val="left"/>
      <w:pPr>
        <w:ind w:left="720" w:hanging="360"/>
      </w:pPr>
      <w:rPr>
        <w:rFonts w:ascii="Wingdings" w:hAnsi="Wingdings"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DA42CC3"/>
    <w:multiLevelType w:val="hybridMultilevel"/>
    <w:tmpl w:val="D5A483E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nsid w:val="5F5D2CCE"/>
    <w:multiLevelType w:val="hybridMultilevel"/>
    <w:tmpl w:val="3F5AEF4E"/>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Times New Roman" w:eastAsia="Times New Roman" w:hAnsi="Times New Roman" w:cs="Times New Roman"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8337DE0"/>
    <w:multiLevelType w:val="hybridMultilevel"/>
    <w:tmpl w:val="9834A212"/>
    <w:lvl w:ilvl="0" w:tplc="0C090015">
      <w:start w:val="1"/>
      <w:numFmt w:val="bullet"/>
      <w:lvlText w:val=""/>
      <w:lvlJc w:val="left"/>
      <w:pPr>
        <w:ind w:left="855" w:hanging="495"/>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0">
    <w:nsid w:val="78EA6DB2"/>
    <w:multiLevelType w:val="hybridMultilevel"/>
    <w:tmpl w:val="41942876"/>
    <w:lvl w:ilvl="0" w:tplc="0C090001">
      <w:start w:val="1"/>
      <w:numFmt w:val="upperLetter"/>
      <w:lvlText w:val="%1."/>
      <w:lvlJc w:val="left"/>
      <w:pPr>
        <w:ind w:left="360" w:hanging="360"/>
      </w:pPr>
      <w:rPr>
        <w:rFonts w:hint="default"/>
      </w:r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11">
    <w:nsid w:val="7959105F"/>
    <w:multiLevelType w:val="multilevel"/>
    <w:tmpl w:val="816A20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C0342BA"/>
    <w:multiLevelType w:val="hybridMultilevel"/>
    <w:tmpl w:val="1A6C2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5"/>
  </w:num>
  <w:num w:numId="5">
    <w:abstractNumId w:val="7"/>
  </w:num>
  <w:num w:numId="6">
    <w:abstractNumId w:val="10"/>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1"/>
  </w:num>
  <w:num w:numId="11">
    <w:abstractNumId w:val="12"/>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compat/>
  <w:rsids>
    <w:rsidRoot w:val="00640BB7"/>
    <w:rsid w:val="00040CA1"/>
    <w:rsid w:val="00065CBD"/>
    <w:rsid w:val="000812FD"/>
    <w:rsid w:val="00083584"/>
    <w:rsid w:val="000A5DB2"/>
    <w:rsid w:val="00113D33"/>
    <w:rsid w:val="00116C75"/>
    <w:rsid w:val="0012458A"/>
    <w:rsid w:val="00141468"/>
    <w:rsid w:val="001736B7"/>
    <w:rsid w:val="001A0B3B"/>
    <w:rsid w:val="001E71CC"/>
    <w:rsid w:val="002A24A9"/>
    <w:rsid w:val="002B2F98"/>
    <w:rsid w:val="002D03CE"/>
    <w:rsid w:val="002E0F12"/>
    <w:rsid w:val="00325129"/>
    <w:rsid w:val="00335BF6"/>
    <w:rsid w:val="00345F05"/>
    <w:rsid w:val="003C3D7C"/>
    <w:rsid w:val="00457464"/>
    <w:rsid w:val="00463E08"/>
    <w:rsid w:val="004B7BD5"/>
    <w:rsid w:val="004E43BD"/>
    <w:rsid w:val="0057449F"/>
    <w:rsid w:val="00576A21"/>
    <w:rsid w:val="005A0D91"/>
    <w:rsid w:val="005C00F3"/>
    <w:rsid w:val="005C4069"/>
    <w:rsid w:val="005F6A53"/>
    <w:rsid w:val="00640BB7"/>
    <w:rsid w:val="00647078"/>
    <w:rsid w:val="00696DC1"/>
    <w:rsid w:val="00700AEA"/>
    <w:rsid w:val="007054C5"/>
    <w:rsid w:val="0076023A"/>
    <w:rsid w:val="0085535E"/>
    <w:rsid w:val="00863ED4"/>
    <w:rsid w:val="00882F81"/>
    <w:rsid w:val="008B15F3"/>
    <w:rsid w:val="008B5CA7"/>
    <w:rsid w:val="008D3907"/>
    <w:rsid w:val="008F4E06"/>
    <w:rsid w:val="0090126E"/>
    <w:rsid w:val="00913716"/>
    <w:rsid w:val="00937684"/>
    <w:rsid w:val="00962885"/>
    <w:rsid w:val="00970F2E"/>
    <w:rsid w:val="009C7F62"/>
    <w:rsid w:val="009D10F5"/>
    <w:rsid w:val="00A07650"/>
    <w:rsid w:val="00A1183E"/>
    <w:rsid w:val="00A31DF6"/>
    <w:rsid w:val="00A37479"/>
    <w:rsid w:val="00A9592D"/>
    <w:rsid w:val="00AA5130"/>
    <w:rsid w:val="00AD372A"/>
    <w:rsid w:val="00B00EFD"/>
    <w:rsid w:val="00B02201"/>
    <w:rsid w:val="00B0271B"/>
    <w:rsid w:val="00B71F38"/>
    <w:rsid w:val="00BB38CD"/>
    <w:rsid w:val="00BB5673"/>
    <w:rsid w:val="00BB6480"/>
    <w:rsid w:val="00C64868"/>
    <w:rsid w:val="00C84D41"/>
    <w:rsid w:val="00C92B90"/>
    <w:rsid w:val="00CC2E23"/>
    <w:rsid w:val="00CE480D"/>
    <w:rsid w:val="00D3551B"/>
    <w:rsid w:val="00D55EFD"/>
    <w:rsid w:val="00D852B6"/>
    <w:rsid w:val="00DA77F8"/>
    <w:rsid w:val="00DD7CCB"/>
    <w:rsid w:val="00E040A4"/>
    <w:rsid w:val="00E2253F"/>
    <w:rsid w:val="00EF796D"/>
    <w:rsid w:val="00F22ECF"/>
    <w:rsid w:val="00F509BD"/>
    <w:rsid w:val="00F6081B"/>
    <w:rsid w:val="00F8616D"/>
    <w:rsid w:val="00FE78BC"/>
  </w:rsids>
  <m:mathPr>
    <m:mathFont m:val="Cambria Math"/>
    <m:brkBin m:val="before"/>
    <m:brkBinSub m:val="--"/>
    <m:smallFrac m:val="off"/>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BB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5A0D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40BB7"/>
    <w:rPr>
      <w:color w:val="0000FF"/>
      <w:u w:val="single"/>
    </w:rPr>
  </w:style>
  <w:style w:type="character" w:styleId="CommentReference">
    <w:name w:val="annotation reference"/>
    <w:basedOn w:val="DefaultParagraphFont"/>
    <w:rsid w:val="00640BB7"/>
    <w:rPr>
      <w:sz w:val="16"/>
      <w:szCs w:val="16"/>
    </w:rPr>
  </w:style>
  <w:style w:type="paragraph" w:styleId="CommentText">
    <w:name w:val="annotation text"/>
    <w:basedOn w:val="Normal"/>
    <w:link w:val="CommentTextChar"/>
    <w:uiPriority w:val="99"/>
    <w:rsid w:val="00640BB7"/>
    <w:rPr>
      <w:sz w:val="20"/>
      <w:szCs w:val="20"/>
    </w:rPr>
  </w:style>
  <w:style w:type="character" w:customStyle="1" w:styleId="CommentTextChar">
    <w:name w:val="Comment Text Char"/>
    <w:basedOn w:val="DefaultParagraphFont"/>
    <w:link w:val="CommentText"/>
    <w:uiPriority w:val="99"/>
    <w:rsid w:val="00640BB7"/>
    <w:rPr>
      <w:rFonts w:ascii="Times New Roman" w:eastAsia="Times New Roman" w:hAnsi="Times New Roman" w:cs="Times New Roman"/>
      <w:sz w:val="20"/>
      <w:szCs w:val="20"/>
      <w:lang w:eastAsia="en-GB"/>
    </w:rPr>
  </w:style>
  <w:style w:type="paragraph" w:styleId="NormalWeb">
    <w:name w:val="Normal (Web)"/>
    <w:basedOn w:val="Normal"/>
    <w:uiPriority w:val="99"/>
    <w:unhideWhenUsed/>
    <w:rsid w:val="00640BB7"/>
    <w:pPr>
      <w:spacing w:before="100" w:beforeAutospacing="1" w:after="100" w:afterAutospacing="1"/>
    </w:pPr>
    <w:rPr>
      <w:lang w:val="en-AU" w:eastAsia="en-AU"/>
    </w:rPr>
  </w:style>
  <w:style w:type="paragraph" w:styleId="ListParagraph">
    <w:name w:val="List Paragraph"/>
    <w:basedOn w:val="Normal"/>
    <w:uiPriority w:val="34"/>
    <w:qFormat/>
    <w:rsid w:val="00640BB7"/>
    <w:pPr>
      <w:ind w:left="720"/>
    </w:pPr>
  </w:style>
  <w:style w:type="paragraph" w:styleId="BalloonText">
    <w:name w:val="Balloon Text"/>
    <w:basedOn w:val="Normal"/>
    <w:link w:val="BalloonTextChar"/>
    <w:uiPriority w:val="99"/>
    <w:semiHidden/>
    <w:unhideWhenUsed/>
    <w:rsid w:val="00640BB7"/>
    <w:rPr>
      <w:rFonts w:ascii="Tahoma" w:hAnsi="Tahoma" w:cs="Tahoma"/>
      <w:sz w:val="16"/>
      <w:szCs w:val="16"/>
    </w:rPr>
  </w:style>
  <w:style w:type="character" w:customStyle="1" w:styleId="BalloonTextChar">
    <w:name w:val="Balloon Text Char"/>
    <w:basedOn w:val="DefaultParagraphFont"/>
    <w:link w:val="BalloonText"/>
    <w:uiPriority w:val="99"/>
    <w:semiHidden/>
    <w:rsid w:val="00640BB7"/>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08358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083584"/>
    <w:rPr>
      <w:b/>
      <w:bCs/>
    </w:rPr>
  </w:style>
  <w:style w:type="character" w:customStyle="1" w:styleId="CommentSubjectChar">
    <w:name w:val="Comment Subject Char"/>
    <w:basedOn w:val="CommentTextChar"/>
    <w:link w:val="CommentSubject"/>
    <w:uiPriority w:val="99"/>
    <w:semiHidden/>
    <w:rsid w:val="00083584"/>
    <w:rPr>
      <w:rFonts w:ascii="Times New Roman" w:eastAsia="Times New Roman" w:hAnsi="Times New Roman" w:cs="Times New Roman"/>
      <w:b/>
      <w:bCs/>
      <w:sz w:val="20"/>
      <w:szCs w:val="20"/>
      <w:lang w:eastAsia="en-GB"/>
    </w:rPr>
  </w:style>
  <w:style w:type="character" w:customStyle="1" w:styleId="Heading1Char">
    <w:name w:val="Heading 1 Char"/>
    <w:basedOn w:val="DefaultParagraphFont"/>
    <w:link w:val="Heading1"/>
    <w:uiPriority w:val="9"/>
    <w:rsid w:val="005A0D91"/>
    <w:rPr>
      <w:rFonts w:asciiTheme="majorHAnsi" w:eastAsiaTheme="majorEastAsia" w:hAnsiTheme="majorHAnsi" w:cstheme="majorBidi"/>
      <w:b/>
      <w:bCs/>
      <w:color w:val="365F91" w:themeColor="accent1" w:themeShade="BF"/>
      <w:sz w:val="28"/>
      <w:szCs w:val="28"/>
      <w:lang w:eastAsia="en-GB"/>
    </w:rPr>
  </w:style>
  <w:style w:type="paragraph" w:styleId="Revision">
    <w:name w:val="Revision"/>
    <w:hidden/>
    <w:uiPriority w:val="99"/>
    <w:semiHidden/>
    <w:rsid w:val="00696DC1"/>
    <w:pPr>
      <w:spacing w:after="0" w:line="240" w:lineRule="auto"/>
    </w:pPr>
    <w:rPr>
      <w:rFonts w:ascii="Times New Roman" w:eastAsia="Times New Roman" w:hAnsi="Times New Roman" w:cs="Times New Roman"/>
      <w:sz w:val="24"/>
      <w:szCs w:val="24"/>
      <w:lang w:eastAsia="en-GB"/>
    </w:rPr>
  </w:style>
  <w:style w:type="paragraph" w:customStyle="1" w:styleId="Default">
    <w:name w:val="Default"/>
    <w:rsid w:val="005F6A53"/>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7830408">
      <w:bodyDiv w:val="1"/>
      <w:marLeft w:val="0"/>
      <w:marRight w:val="0"/>
      <w:marTop w:val="0"/>
      <w:marBottom w:val="0"/>
      <w:divBdr>
        <w:top w:val="none" w:sz="0" w:space="0" w:color="auto"/>
        <w:left w:val="none" w:sz="0" w:space="0" w:color="auto"/>
        <w:bottom w:val="none" w:sz="0" w:space="0" w:color="auto"/>
        <w:right w:val="none" w:sz="0" w:space="0" w:color="auto"/>
      </w:divBdr>
    </w:div>
    <w:div w:id="107613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reporting.org/ReportingFramework/G3Online/SectorSupplements/" TargetMode="External"/><Relationship Id="rId13" Type="http://schemas.openxmlformats.org/officeDocument/2006/relationships/hyperlink" Target="http://www.kpmg.com/NL/en/Issues-And-Insights/ArticlesPublications/Pages/KPMG-International-Survey-of-Corporate-Responsibility-Reporting-2011.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lobalreporting.org/ReportingFramework/G3Online/PerformanceIndicators/" TargetMode="External"/><Relationship Id="rId12" Type="http://schemas.openxmlformats.org/officeDocument/2006/relationships/hyperlink" Target="http://www.icmm.com/document/43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nglobalcompact.org/COP/index.html"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globalreporting.org/ReportingFramework/G3Guidelines/" TargetMode="External"/><Relationship Id="rId11" Type="http://schemas.openxmlformats.org/officeDocument/2006/relationships/hyperlink" Target="http://www.icmm.com/our-work/sustainable-development-framework/public-reporting" TargetMode="External"/><Relationship Id="rId5" Type="http://schemas.openxmlformats.org/officeDocument/2006/relationships/hyperlink" Target="https://www.globalreporting.org/information/sustainability-reporting/Pages/default.aspx" TargetMode="External"/><Relationship Id="rId15" Type="http://schemas.openxmlformats.org/officeDocument/2006/relationships/hyperlink" Target="http://www.enviroreporting.com/" TargetMode="External"/><Relationship Id="rId10" Type="http://schemas.openxmlformats.org/officeDocument/2006/relationships/hyperlink" Target="http://www.globalreporting.org/reporting/latest-guidelines/g3-1-guidelines/Pages/default.aspx" TargetMode="External"/><Relationship Id="rId4" Type="http://schemas.openxmlformats.org/officeDocument/2006/relationships/webSettings" Target="webSettings.xml"/><Relationship Id="rId9" Type="http://schemas.openxmlformats.org/officeDocument/2006/relationships/hyperlink" Target="http://www.globalreporting.org/Pages/default.aspx" TargetMode="External"/><Relationship Id="rId14" Type="http://schemas.openxmlformats.org/officeDocument/2006/relationships/hyperlink" Target="http://www.oecd.org/fr/daf/inv/mne/mini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1</Pages>
  <Words>2092</Words>
  <Characters>11926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dc:creator>
  <cp:lastModifiedBy>Marieke</cp:lastModifiedBy>
  <cp:revision>36</cp:revision>
  <cp:lastPrinted>2013-06-04T09:00:00Z</cp:lastPrinted>
  <dcterms:created xsi:type="dcterms:W3CDTF">2013-03-22T11:45:00Z</dcterms:created>
  <dcterms:modified xsi:type="dcterms:W3CDTF">2013-06-04T09:01:00Z</dcterms:modified>
</cp:coreProperties>
</file>