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69532D" w:rsidRPr="007F7CB8" w:rsidTr="005E5B7B">
        <w:tc>
          <w:tcPr>
            <w:tcW w:w="8522" w:type="dxa"/>
            <w:shd w:val="clear" w:color="auto" w:fill="CCC0D9" w:themeFill="accent4" w:themeFillTint="66"/>
          </w:tcPr>
          <w:p w:rsidR="0069532D" w:rsidRPr="00F947F2" w:rsidRDefault="005424CE" w:rsidP="004B24DE">
            <w:pPr>
              <w:rPr>
                <w:rFonts w:asciiTheme="minorHAnsi" w:hAnsiTheme="minorHAnsi" w:cs="Arial"/>
                <w:b/>
                <w:sz w:val="32"/>
                <w:szCs w:val="32"/>
              </w:rPr>
            </w:pPr>
            <w:r>
              <w:rPr>
                <w:rFonts w:asciiTheme="minorHAnsi" w:hAnsiTheme="minorHAnsi" w:cs="Arial"/>
                <w:b/>
                <w:sz w:val="32"/>
                <w:szCs w:val="32"/>
              </w:rPr>
              <w:t xml:space="preserve"> </w:t>
            </w:r>
            <w:r w:rsidR="0069532D" w:rsidRPr="00183B12">
              <w:rPr>
                <w:rFonts w:asciiTheme="minorHAnsi" w:hAnsiTheme="minorHAnsi" w:cs="Arial"/>
                <w:b/>
                <w:sz w:val="32"/>
                <w:szCs w:val="32"/>
              </w:rPr>
              <w:t>STANDARD GUIDANCE</w:t>
            </w:r>
          </w:p>
          <w:p w:rsidR="0069532D" w:rsidRPr="007F7CB8" w:rsidRDefault="0069532D" w:rsidP="004B24DE">
            <w:pPr>
              <w:rPr>
                <w:rFonts w:asciiTheme="minorHAnsi" w:hAnsiTheme="minorHAnsi" w:cs="Arial"/>
                <w:sz w:val="20"/>
                <w:szCs w:val="20"/>
              </w:rPr>
            </w:pPr>
          </w:p>
          <w:p w:rsidR="0069532D" w:rsidRPr="007F7CB8" w:rsidRDefault="0069532D" w:rsidP="004B24DE">
            <w:pPr>
              <w:rPr>
                <w:rFonts w:asciiTheme="minorHAnsi" w:hAnsiTheme="minorHAnsi" w:cs="Arial"/>
                <w:b/>
                <w:sz w:val="32"/>
                <w:szCs w:val="32"/>
              </w:rPr>
            </w:pPr>
            <w:r>
              <w:rPr>
                <w:rFonts w:asciiTheme="minorHAnsi" w:hAnsiTheme="minorHAnsi" w:cs="Arial"/>
                <w:b/>
                <w:sz w:val="32"/>
                <w:szCs w:val="32"/>
              </w:rPr>
              <w:t xml:space="preserve">(COP </w:t>
            </w:r>
            <w:r w:rsidR="00066BD1">
              <w:rPr>
                <w:rFonts w:asciiTheme="minorHAnsi" w:hAnsiTheme="minorHAnsi" w:cs="Arial"/>
                <w:b/>
                <w:sz w:val="32"/>
                <w:szCs w:val="32"/>
              </w:rPr>
              <w:t>6.2</w:t>
            </w:r>
            <w:r w:rsidRPr="00183B12">
              <w:rPr>
                <w:rFonts w:asciiTheme="minorHAnsi" w:hAnsiTheme="minorHAnsi" w:cs="Arial"/>
                <w:b/>
                <w:sz w:val="32"/>
                <w:szCs w:val="32"/>
              </w:rPr>
              <w:t xml:space="preserve">)  </w:t>
            </w:r>
            <w:r>
              <w:rPr>
                <w:rFonts w:asciiTheme="minorHAnsi" w:hAnsiTheme="minorHAnsi" w:cs="Arial"/>
                <w:b/>
                <w:sz w:val="32"/>
                <w:szCs w:val="32"/>
              </w:rPr>
              <w:t>Conflict-Affected Areas</w:t>
            </w:r>
          </w:p>
        </w:tc>
      </w:tr>
    </w:tbl>
    <w:p w:rsidR="0069532D" w:rsidRPr="007F7CB8" w:rsidRDefault="0069532D" w:rsidP="0069532D">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69532D" w:rsidRPr="007F7CB8" w:rsidTr="005E5B7B">
        <w:tc>
          <w:tcPr>
            <w:tcW w:w="8522" w:type="dxa"/>
            <w:shd w:val="clear" w:color="auto" w:fill="CCC0D9" w:themeFill="accent4" w:themeFillTint="66"/>
          </w:tcPr>
          <w:p w:rsidR="0069532D" w:rsidRPr="007F7CB8" w:rsidRDefault="0069532D" w:rsidP="0069532D">
            <w:pPr>
              <w:numPr>
                <w:ilvl w:val="0"/>
                <w:numId w:val="1"/>
              </w:numPr>
              <w:rPr>
                <w:rFonts w:asciiTheme="minorHAnsi" w:hAnsiTheme="minorHAnsi" w:cs="Arial"/>
                <w:b/>
              </w:rPr>
            </w:pPr>
            <w:r w:rsidRPr="00183B12">
              <w:rPr>
                <w:rFonts w:asciiTheme="minorHAnsi" w:hAnsiTheme="minorHAnsi" w:cs="Arial"/>
                <w:b/>
              </w:rPr>
              <w:t>Definition</w:t>
            </w:r>
            <w:r>
              <w:rPr>
                <w:rFonts w:asciiTheme="minorHAnsi" w:hAnsiTheme="minorHAnsi" w:cs="Arial"/>
                <w:b/>
              </w:rPr>
              <w:t>s</w:t>
            </w:r>
            <w:r w:rsidRPr="00183B12">
              <w:rPr>
                <w:rFonts w:asciiTheme="minorHAnsi" w:hAnsiTheme="minorHAnsi" w:cs="Arial"/>
                <w:b/>
              </w:rPr>
              <w:t xml:space="preserve"> and applicability</w:t>
            </w:r>
          </w:p>
        </w:tc>
      </w:tr>
    </w:tbl>
    <w:p w:rsidR="002D03CE" w:rsidRPr="001F391B" w:rsidRDefault="002D03CE">
      <w:pPr>
        <w:rPr>
          <w:rFonts w:asciiTheme="minorHAnsi" w:hAnsiTheme="minorHAnsi"/>
        </w:rPr>
      </w:pPr>
    </w:p>
    <w:p w:rsidR="003313EA" w:rsidRDefault="003313EA" w:rsidP="00073160">
      <w:pPr>
        <w:rPr>
          <w:rFonts w:cs="Calibri"/>
          <w:lang w:eastAsia="en-AU"/>
        </w:rPr>
      </w:pPr>
      <w:r w:rsidRPr="003313EA">
        <w:rPr>
          <w:rFonts w:asciiTheme="minorHAnsi" w:hAnsiTheme="minorHAnsi"/>
          <w:b/>
          <w:sz w:val="20"/>
          <w:szCs w:val="20"/>
        </w:rPr>
        <w:t>Conflict</w:t>
      </w:r>
      <w:r w:rsidRPr="003313EA">
        <w:rPr>
          <w:rFonts w:asciiTheme="minorHAnsi" w:hAnsiTheme="minorHAnsi"/>
          <w:sz w:val="20"/>
          <w:szCs w:val="20"/>
        </w:rPr>
        <w:t xml:space="preserve"> means</w:t>
      </w:r>
      <w:r w:rsidRPr="003313EA">
        <w:rPr>
          <w:rFonts w:cs="Calibri"/>
          <w:b/>
          <w:bCs/>
          <w:sz w:val="20"/>
          <w:szCs w:val="20"/>
          <w:lang w:eastAsia="en-AU"/>
        </w:rPr>
        <w:t xml:space="preserve"> </w:t>
      </w:r>
      <w:r>
        <w:rPr>
          <w:rFonts w:cs="Calibri"/>
          <w:sz w:val="20"/>
          <w:szCs w:val="20"/>
          <w:lang w:eastAsia="en-AU"/>
        </w:rPr>
        <w:t>a</w:t>
      </w:r>
      <w:r w:rsidRPr="003313EA">
        <w:rPr>
          <w:rFonts w:cs="Calibri"/>
          <w:sz w:val="20"/>
          <w:szCs w:val="20"/>
          <w:lang w:eastAsia="en-AU"/>
        </w:rPr>
        <w:t>rmed aggression, widespread violence, and/or widespread human rights abuses.</w:t>
      </w:r>
      <w:r w:rsidRPr="003313EA">
        <w:rPr>
          <w:rFonts w:cs="Calibri"/>
          <w:lang w:eastAsia="en-AU"/>
        </w:rPr>
        <w:t xml:space="preserve"> </w:t>
      </w:r>
    </w:p>
    <w:p w:rsidR="00635D5C" w:rsidRPr="00635D5C" w:rsidRDefault="00635D5C" w:rsidP="00073160">
      <w:pPr>
        <w:rPr>
          <w:rFonts w:cs="Calibri"/>
          <w:sz w:val="20"/>
          <w:szCs w:val="20"/>
          <w:lang w:eastAsia="en-AU"/>
        </w:rPr>
      </w:pPr>
      <w:r w:rsidRPr="00635D5C">
        <w:rPr>
          <w:rFonts w:cs="Calibri"/>
          <w:sz w:val="20"/>
          <w:szCs w:val="20"/>
          <w:lang w:eastAsia="en-AU"/>
        </w:rPr>
        <w:t>These can include:</w:t>
      </w:r>
    </w:p>
    <w:p w:rsidR="00635D5C" w:rsidRPr="00635D5C" w:rsidRDefault="00635D5C" w:rsidP="00635D5C">
      <w:pPr>
        <w:rPr>
          <w:rFonts w:cs="Calibri"/>
          <w:sz w:val="20"/>
          <w:szCs w:val="20"/>
          <w:lang w:eastAsia="en-AU"/>
        </w:rPr>
      </w:pPr>
      <w:proofErr w:type="spellStart"/>
      <w:r w:rsidRPr="00635D5C">
        <w:rPr>
          <w:rFonts w:cs="Calibri"/>
          <w:sz w:val="20"/>
          <w:szCs w:val="20"/>
          <w:lang w:eastAsia="en-AU"/>
        </w:rPr>
        <w:t>i</w:t>
      </w:r>
      <w:proofErr w:type="spellEnd"/>
      <w:r w:rsidRPr="00635D5C">
        <w:rPr>
          <w:rFonts w:cs="Calibri"/>
          <w:sz w:val="20"/>
          <w:szCs w:val="20"/>
          <w:lang w:eastAsia="en-AU"/>
        </w:rPr>
        <w:t xml:space="preserve">) </w:t>
      </w:r>
      <w:proofErr w:type="gramStart"/>
      <w:r w:rsidRPr="00635D5C">
        <w:rPr>
          <w:rFonts w:cs="Calibri"/>
          <w:sz w:val="20"/>
          <w:szCs w:val="20"/>
          <w:lang w:eastAsia="en-AU"/>
        </w:rPr>
        <w:t>any</w:t>
      </w:r>
      <w:proofErr w:type="gramEnd"/>
      <w:r w:rsidRPr="00635D5C">
        <w:rPr>
          <w:rFonts w:cs="Calibri"/>
          <w:sz w:val="20"/>
          <w:szCs w:val="20"/>
          <w:lang w:eastAsia="en-AU"/>
        </w:rPr>
        <w:t xml:space="preserve"> forms of torture, cruel, inhuman and degrading treatment; </w:t>
      </w:r>
    </w:p>
    <w:p w:rsidR="00635D5C" w:rsidRPr="00635D5C" w:rsidRDefault="00635D5C" w:rsidP="00635D5C">
      <w:pPr>
        <w:rPr>
          <w:rFonts w:cs="Calibri"/>
          <w:sz w:val="20"/>
          <w:szCs w:val="20"/>
          <w:lang w:eastAsia="en-AU"/>
        </w:rPr>
      </w:pPr>
      <w:r w:rsidRPr="00635D5C">
        <w:rPr>
          <w:rFonts w:cs="Calibri"/>
          <w:sz w:val="20"/>
          <w:szCs w:val="20"/>
          <w:lang w:eastAsia="en-AU"/>
        </w:rPr>
        <w:t xml:space="preserve">ii) any forms of forced or compulsory labour, which means work or service which is exacted from any person under the menace of penalty and for which said person has not offered himself voluntarily; </w:t>
      </w:r>
    </w:p>
    <w:p w:rsidR="00635D5C" w:rsidRPr="00635D5C" w:rsidRDefault="00635D5C" w:rsidP="00635D5C">
      <w:pPr>
        <w:rPr>
          <w:rFonts w:cs="Calibri"/>
          <w:sz w:val="20"/>
          <w:szCs w:val="20"/>
          <w:lang w:eastAsia="en-AU"/>
        </w:rPr>
      </w:pPr>
      <w:r w:rsidRPr="00635D5C">
        <w:rPr>
          <w:rFonts w:cs="Calibri"/>
          <w:sz w:val="20"/>
          <w:szCs w:val="20"/>
          <w:lang w:eastAsia="en-AU"/>
        </w:rPr>
        <w:t xml:space="preserve">iii) </w:t>
      </w:r>
      <w:proofErr w:type="gramStart"/>
      <w:r w:rsidRPr="00635D5C">
        <w:rPr>
          <w:rFonts w:cs="Calibri"/>
          <w:sz w:val="20"/>
          <w:szCs w:val="20"/>
          <w:lang w:eastAsia="en-AU"/>
        </w:rPr>
        <w:t>the</w:t>
      </w:r>
      <w:proofErr w:type="gramEnd"/>
      <w:r w:rsidRPr="00635D5C">
        <w:rPr>
          <w:rFonts w:cs="Calibri"/>
          <w:sz w:val="20"/>
          <w:szCs w:val="20"/>
          <w:lang w:eastAsia="en-AU"/>
        </w:rPr>
        <w:t xml:space="preserve"> worst forms of child labour; </w:t>
      </w:r>
    </w:p>
    <w:p w:rsidR="00635D5C" w:rsidRPr="00635D5C" w:rsidRDefault="00635D5C" w:rsidP="00635D5C">
      <w:pPr>
        <w:rPr>
          <w:rFonts w:cs="Calibri"/>
          <w:sz w:val="20"/>
          <w:szCs w:val="20"/>
          <w:lang w:eastAsia="en-AU"/>
        </w:rPr>
      </w:pPr>
      <w:r w:rsidRPr="00635D5C">
        <w:rPr>
          <w:rFonts w:cs="Calibri"/>
          <w:sz w:val="20"/>
          <w:szCs w:val="20"/>
          <w:lang w:eastAsia="en-AU"/>
        </w:rPr>
        <w:t xml:space="preserve">iv) </w:t>
      </w:r>
      <w:proofErr w:type="gramStart"/>
      <w:r w:rsidRPr="00635D5C">
        <w:rPr>
          <w:rFonts w:cs="Calibri"/>
          <w:sz w:val="20"/>
          <w:szCs w:val="20"/>
          <w:lang w:eastAsia="en-AU"/>
        </w:rPr>
        <w:t>other</w:t>
      </w:r>
      <w:proofErr w:type="gramEnd"/>
      <w:r w:rsidRPr="00635D5C">
        <w:rPr>
          <w:rFonts w:cs="Calibri"/>
          <w:sz w:val="20"/>
          <w:szCs w:val="20"/>
          <w:lang w:eastAsia="en-AU"/>
        </w:rPr>
        <w:t xml:space="preserve"> gross human rights violations and abuses such as widespread sexual violence; </w:t>
      </w:r>
    </w:p>
    <w:p w:rsidR="00635D5C" w:rsidRPr="00635D5C" w:rsidRDefault="00635D5C" w:rsidP="00635D5C">
      <w:pPr>
        <w:rPr>
          <w:rFonts w:cs="Calibri"/>
          <w:sz w:val="20"/>
          <w:szCs w:val="20"/>
          <w:lang w:eastAsia="en-AU"/>
        </w:rPr>
      </w:pPr>
      <w:r w:rsidRPr="00635D5C">
        <w:rPr>
          <w:rFonts w:cs="Calibri"/>
          <w:sz w:val="20"/>
          <w:szCs w:val="20"/>
          <w:lang w:eastAsia="en-AU"/>
        </w:rPr>
        <w:t xml:space="preserve">v) </w:t>
      </w:r>
      <w:proofErr w:type="gramStart"/>
      <w:r w:rsidRPr="00635D5C">
        <w:rPr>
          <w:rFonts w:cs="Calibri"/>
          <w:sz w:val="20"/>
          <w:szCs w:val="20"/>
          <w:lang w:eastAsia="en-AU"/>
        </w:rPr>
        <w:t>war</w:t>
      </w:r>
      <w:proofErr w:type="gramEnd"/>
      <w:r w:rsidRPr="00635D5C">
        <w:rPr>
          <w:rFonts w:cs="Calibri"/>
          <w:sz w:val="20"/>
          <w:szCs w:val="20"/>
          <w:lang w:eastAsia="en-AU"/>
        </w:rPr>
        <w:t xml:space="preserve"> crimes or other serious violations of international humanitarian law, crimes against humanity or genocide. </w:t>
      </w:r>
      <w:r>
        <w:rPr>
          <w:rFonts w:cs="Calibri"/>
          <w:sz w:val="20"/>
          <w:szCs w:val="20"/>
          <w:lang w:eastAsia="en-AU"/>
        </w:rPr>
        <w:t>[</w:t>
      </w:r>
      <w:r w:rsidRPr="00635D5C">
        <w:rPr>
          <w:rFonts w:cs="Calibri"/>
          <w:i/>
          <w:sz w:val="20"/>
          <w:szCs w:val="20"/>
          <w:lang w:eastAsia="en-AU"/>
        </w:rPr>
        <w:t xml:space="preserve">Source:  Annex II, OECD </w:t>
      </w:r>
      <w:proofErr w:type="gramStart"/>
      <w:r w:rsidRPr="00635D5C">
        <w:rPr>
          <w:rFonts w:cs="Calibri"/>
          <w:i/>
          <w:sz w:val="20"/>
          <w:szCs w:val="20"/>
          <w:lang w:eastAsia="en-AU"/>
        </w:rPr>
        <w:t>Due</w:t>
      </w:r>
      <w:proofErr w:type="gramEnd"/>
      <w:r w:rsidRPr="00635D5C">
        <w:rPr>
          <w:rFonts w:cs="Calibri"/>
          <w:i/>
          <w:sz w:val="20"/>
          <w:szCs w:val="20"/>
          <w:lang w:eastAsia="en-AU"/>
        </w:rPr>
        <w:t xml:space="preserve"> Diligence Guidance</w:t>
      </w:r>
      <w:r>
        <w:rPr>
          <w:rFonts w:cs="Calibri"/>
          <w:sz w:val="20"/>
          <w:szCs w:val="20"/>
          <w:lang w:eastAsia="en-AU"/>
        </w:rPr>
        <w:t>]</w:t>
      </w:r>
    </w:p>
    <w:p w:rsidR="00E87738" w:rsidRDefault="00E87738" w:rsidP="00073160">
      <w:pPr>
        <w:rPr>
          <w:rFonts w:asciiTheme="minorHAnsi" w:hAnsiTheme="minorHAnsi"/>
          <w:b/>
          <w:iCs/>
          <w:sz w:val="20"/>
          <w:szCs w:val="20"/>
        </w:rPr>
      </w:pPr>
    </w:p>
    <w:p w:rsidR="00073160" w:rsidRPr="00214E71" w:rsidRDefault="00073160" w:rsidP="00073160">
      <w:pPr>
        <w:rPr>
          <w:rFonts w:cs="Calibri"/>
          <w:sz w:val="20"/>
          <w:szCs w:val="20"/>
          <w:lang w:eastAsia="en-AU"/>
        </w:rPr>
      </w:pPr>
      <w:r w:rsidRPr="00073160">
        <w:rPr>
          <w:rFonts w:asciiTheme="minorHAnsi" w:hAnsiTheme="minorHAnsi"/>
          <w:b/>
          <w:iCs/>
          <w:sz w:val="20"/>
          <w:szCs w:val="20"/>
        </w:rPr>
        <w:t>Conflict-</w:t>
      </w:r>
      <w:r w:rsidR="00E87738">
        <w:rPr>
          <w:rFonts w:asciiTheme="minorHAnsi" w:hAnsiTheme="minorHAnsi"/>
          <w:b/>
          <w:iCs/>
          <w:sz w:val="20"/>
          <w:szCs w:val="20"/>
        </w:rPr>
        <w:t>Affected Areas</w:t>
      </w:r>
      <w:r w:rsidRPr="003313EA">
        <w:rPr>
          <w:rFonts w:asciiTheme="minorHAnsi" w:hAnsiTheme="minorHAnsi"/>
          <w:b/>
          <w:iCs/>
          <w:sz w:val="20"/>
          <w:szCs w:val="20"/>
        </w:rPr>
        <w:t xml:space="preserve"> </w:t>
      </w:r>
      <w:r w:rsidRPr="003313EA">
        <w:rPr>
          <w:rFonts w:asciiTheme="minorHAnsi" w:hAnsiTheme="minorHAnsi"/>
          <w:iCs/>
          <w:sz w:val="20"/>
          <w:szCs w:val="20"/>
        </w:rPr>
        <w:t xml:space="preserve">are areas </w:t>
      </w:r>
      <w:r w:rsidR="003313EA" w:rsidRPr="00D77383">
        <w:rPr>
          <w:rFonts w:asciiTheme="minorHAnsi" w:hAnsiTheme="minorHAnsi"/>
          <w:iCs/>
          <w:sz w:val="20"/>
          <w:szCs w:val="20"/>
        </w:rPr>
        <w:t xml:space="preserve">where Conflict is prevalent.  </w:t>
      </w:r>
      <w:r w:rsidR="003313EA" w:rsidRPr="003313EA">
        <w:rPr>
          <w:rFonts w:cs="Calibri"/>
          <w:sz w:val="20"/>
          <w:szCs w:val="20"/>
          <w:lang w:eastAsia="en-AU"/>
        </w:rPr>
        <w:t xml:space="preserve">The area may be a region, a country, an area within a country, or an area that crosses one or more country boundaries. Operations are not necessarily complicit in Conflict if they are located in a Conflict‐Affected Area. The DRC and Adjoining Countries as defined under Section 1502 of the United States’ Dodd‐Frank Wall Street Reform and Consumer Protection Act are </w:t>
      </w:r>
      <w:r w:rsidR="003313EA" w:rsidRPr="00214E71">
        <w:rPr>
          <w:rFonts w:cs="Calibri"/>
          <w:sz w:val="20"/>
          <w:szCs w:val="20"/>
          <w:lang w:eastAsia="en-AU"/>
        </w:rPr>
        <w:t>deemed a Conflict‐Affected Area.</w:t>
      </w:r>
    </w:p>
    <w:p w:rsidR="00D77383" w:rsidRDefault="00D77383" w:rsidP="00073160">
      <w:pPr>
        <w:rPr>
          <w:rFonts w:cs="Calibri"/>
          <w:sz w:val="20"/>
          <w:szCs w:val="20"/>
          <w:lang w:eastAsia="en-AU"/>
        </w:rPr>
      </w:pPr>
    </w:p>
    <w:p w:rsidR="00D77383" w:rsidRPr="00734013" w:rsidRDefault="00D77383" w:rsidP="00D77383">
      <w:pPr>
        <w:rPr>
          <w:rFonts w:asciiTheme="minorHAnsi" w:hAnsiTheme="minorHAnsi" w:cs="Arial"/>
          <w:sz w:val="20"/>
          <w:szCs w:val="20"/>
        </w:rPr>
      </w:pPr>
      <w:r w:rsidRPr="007020D6">
        <w:rPr>
          <w:rFonts w:asciiTheme="minorHAnsi" w:hAnsiTheme="minorHAnsi" w:cs="Arial"/>
          <w:b/>
          <w:bCs/>
          <w:sz w:val="20"/>
          <w:szCs w:val="20"/>
        </w:rPr>
        <w:t>Human rights</w:t>
      </w:r>
      <w:r w:rsidRPr="007020D6">
        <w:rPr>
          <w:rFonts w:asciiTheme="minorHAnsi" w:hAnsiTheme="minorHAnsi" w:cs="Arial"/>
          <w:sz w:val="20"/>
          <w:szCs w:val="20"/>
        </w:rPr>
        <w:t xml:space="preserve"> are rights inherent to all human beings, regardless of nationality, place of residence, sex, national or ethnic origin, colour, religion, language, or any other status. We are all equally entitled to our human rights without discrimination.</w:t>
      </w:r>
    </w:p>
    <w:p w:rsidR="001F391B" w:rsidRDefault="001F391B">
      <w:pPr>
        <w:rPr>
          <w:rFonts w:asciiTheme="minorHAnsi" w:hAnsiTheme="minorHAnsi"/>
          <w:i/>
          <w:iCs/>
          <w:sz w:val="20"/>
          <w:szCs w:val="20"/>
        </w:rPr>
      </w:pPr>
    </w:p>
    <w:p w:rsidR="001F391B" w:rsidRDefault="001F391B">
      <w:pPr>
        <w:rPr>
          <w:rFonts w:asciiTheme="minorHAnsi" w:hAnsiTheme="minorHAnsi"/>
          <w:i/>
          <w:iCs/>
          <w:sz w:val="20"/>
          <w:szCs w:val="20"/>
        </w:rPr>
      </w:pPr>
      <w:r>
        <w:rPr>
          <w:rFonts w:asciiTheme="minorHAnsi" w:hAnsiTheme="minorHAnsi"/>
          <w:i/>
          <w:iCs/>
          <w:sz w:val="20"/>
          <w:szCs w:val="20"/>
        </w:rPr>
        <w:t xml:space="preserve">Source: </w:t>
      </w:r>
    </w:p>
    <w:p w:rsidR="00B7327E" w:rsidRPr="00EF3D06" w:rsidRDefault="00B7327E" w:rsidP="001F391B">
      <w:pPr>
        <w:numPr>
          <w:ilvl w:val="0"/>
          <w:numId w:val="7"/>
        </w:numPr>
        <w:rPr>
          <w:rFonts w:asciiTheme="minorHAnsi" w:hAnsiTheme="minorHAnsi" w:cs="Arial"/>
          <w:i/>
          <w:iCs/>
          <w:sz w:val="20"/>
          <w:szCs w:val="20"/>
        </w:rPr>
      </w:pPr>
      <w:r w:rsidRPr="00B7327E">
        <w:rPr>
          <w:rFonts w:cs="Calibri"/>
          <w:i/>
          <w:sz w:val="20"/>
          <w:szCs w:val="20"/>
        </w:rPr>
        <w:t>International Alert, Conflict-Sensitive Business Practice: Guidance for Extractive Industries</w:t>
      </w:r>
      <w:r w:rsidR="00EF3D06">
        <w:rPr>
          <w:rFonts w:cs="Calibri"/>
          <w:i/>
          <w:sz w:val="20"/>
          <w:szCs w:val="20"/>
        </w:rPr>
        <w:t xml:space="preserve"> (2005)</w:t>
      </w:r>
    </w:p>
    <w:p w:rsidR="00EF3D06" w:rsidRDefault="00E51C01" w:rsidP="00EF3D06">
      <w:pPr>
        <w:ind w:left="720"/>
        <w:rPr>
          <w:rFonts w:asciiTheme="minorHAnsi" w:hAnsiTheme="minorHAnsi" w:cs="Arial"/>
          <w:i/>
          <w:iCs/>
          <w:sz w:val="20"/>
          <w:szCs w:val="20"/>
        </w:rPr>
      </w:pPr>
      <w:hyperlink r:id="rId5" w:history="1">
        <w:r w:rsidR="00EF3D06" w:rsidRPr="00C93912">
          <w:rPr>
            <w:rStyle w:val="Hyperlink"/>
            <w:rFonts w:asciiTheme="minorHAnsi" w:hAnsiTheme="minorHAnsi" w:cs="Arial"/>
            <w:i/>
            <w:iCs/>
            <w:sz w:val="20"/>
            <w:szCs w:val="20"/>
          </w:rPr>
          <w:t>www.international-alert.org/resources/publications/conflict-sensitive-business-practice-guidance-extractive-industries</w:t>
        </w:r>
      </w:hyperlink>
    </w:p>
    <w:p w:rsidR="001F391B" w:rsidRDefault="001F391B" w:rsidP="001F391B">
      <w:pPr>
        <w:numPr>
          <w:ilvl w:val="0"/>
          <w:numId w:val="7"/>
        </w:numPr>
        <w:rPr>
          <w:rFonts w:asciiTheme="minorHAnsi" w:hAnsiTheme="minorHAnsi" w:cs="Arial"/>
          <w:i/>
          <w:iCs/>
          <w:sz w:val="20"/>
          <w:szCs w:val="20"/>
        </w:rPr>
      </w:pPr>
      <w:r w:rsidRPr="001F391B">
        <w:rPr>
          <w:rFonts w:asciiTheme="minorHAnsi" w:hAnsiTheme="minorHAnsi" w:cs="Arial"/>
          <w:i/>
          <w:iCs/>
          <w:sz w:val="20"/>
          <w:szCs w:val="20"/>
        </w:rPr>
        <w:t>OECD Due Diligence Guidance on the Responsible Supply Chains of Minerals from Conflict-Affected and High-Risk Areas, Second Edition (2012)</w:t>
      </w:r>
    </w:p>
    <w:p w:rsidR="001F391B" w:rsidRDefault="00E51C01" w:rsidP="001F391B">
      <w:pPr>
        <w:ind w:left="720"/>
        <w:rPr>
          <w:rFonts w:asciiTheme="minorHAnsi" w:hAnsiTheme="minorHAnsi" w:cs="Arial"/>
          <w:i/>
          <w:iCs/>
          <w:sz w:val="20"/>
          <w:szCs w:val="20"/>
        </w:rPr>
      </w:pPr>
      <w:hyperlink r:id="rId6" w:history="1">
        <w:r w:rsidR="001F391B" w:rsidRPr="001F391B">
          <w:rPr>
            <w:rStyle w:val="Hyperlink"/>
            <w:rFonts w:asciiTheme="minorHAnsi" w:hAnsiTheme="minorHAnsi" w:cs="Arial"/>
            <w:i/>
            <w:iCs/>
            <w:sz w:val="20"/>
            <w:szCs w:val="20"/>
          </w:rPr>
          <w:t>www.oecd.org/fr/daf/inv/mne/mining.htm</w:t>
        </w:r>
      </w:hyperlink>
      <w:r w:rsidR="001F391B" w:rsidRPr="001F391B">
        <w:rPr>
          <w:rFonts w:asciiTheme="minorHAnsi" w:hAnsiTheme="minorHAnsi" w:cs="Arial"/>
          <w:i/>
          <w:iCs/>
          <w:sz w:val="20"/>
          <w:szCs w:val="20"/>
        </w:rPr>
        <w:t xml:space="preserve"> </w:t>
      </w:r>
    </w:p>
    <w:p w:rsidR="00EF3D06" w:rsidRDefault="00EF3D06" w:rsidP="00EF3D06">
      <w:pPr>
        <w:numPr>
          <w:ilvl w:val="0"/>
          <w:numId w:val="7"/>
        </w:numPr>
        <w:rPr>
          <w:rFonts w:asciiTheme="minorHAnsi" w:hAnsiTheme="minorHAnsi" w:cs="Arial"/>
          <w:i/>
          <w:iCs/>
          <w:sz w:val="20"/>
          <w:szCs w:val="20"/>
        </w:rPr>
      </w:pPr>
      <w:r>
        <w:rPr>
          <w:rFonts w:asciiTheme="minorHAnsi" w:hAnsiTheme="minorHAnsi" w:cs="Arial"/>
          <w:i/>
          <w:iCs/>
          <w:sz w:val="20"/>
          <w:szCs w:val="20"/>
        </w:rPr>
        <w:t>RJC Chain of Custody Standard (2012)</w:t>
      </w:r>
    </w:p>
    <w:p w:rsidR="00D77383" w:rsidRDefault="00D77383" w:rsidP="00D77383">
      <w:pPr>
        <w:pStyle w:val="ListParagraph"/>
        <w:numPr>
          <w:ilvl w:val="0"/>
          <w:numId w:val="11"/>
        </w:numPr>
        <w:rPr>
          <w:rFonts w:asciiTheme="minorHAnsi" w:hAnsiTheme="minorHAnsi" w:cs="Arial"/>
          <w:i/>
          <w:sz w:val="20"/>
          <w:szCs w:val="20"/>
          <w:lang w:val="en-AU"/>
        </w:rPr>
      </w:pPr>
      <w:r w:rsidRPr="007020D6">
        <w:rPr>
          <w:rFonts w:asciiTheme="minorHAnsi" w:hAnsiTheme="minorHAnsi" w:cs="Arial"/>
          <w:i/>
          <w:sz w:val="20"/>
          <w:szCs w:val="20"/>
          <w:lang w:val="en-AU"/>
        </w:rPr>
        <w:t>United Nations Human</w:t>
      </w:r>
      <w:r w:rsidR="003A456E">
        <w:rPr>
          <w:rFonts w:asciiTheme="minorHAnsi" w:hAnsiTheme="minorHAnsi" w:cs="Arial"/>
          <w:i/>
          <w:sz w:val="20"/>
          <w:szCs w:val="20"/>
          <w:lang w:val="en-AU"/>
        </w:rPr>
        <w:t xml:space="preserve"> Rights – What are Human Rights</w:t>
      </w:r>
      <w:r w:rsidRPr="007020D6">
        <w:rPr>
          <w:rFonts w:asciiTheme="minorHAnsi" w:hAnsiTheme="minorHAnsi" w:cs="Arial"/>
          <w:i/>
          <w:sz w:val="20"/>
          <w:szCs w:val="20"/>
          <w:lang w:val="en-AU"/>
        </w:rPr>
        <w:t>?</w:t>
      </w:r>
    </w:p>
    <w:p w:rsidR="00D77383" w:rsidRDefault="00D77383" w:rsidP="00D77383">
      <w:pPr>
        <w:ind w:left="360"/>
        <w:rPr>
          <w:rFonts w:asciiTheme="minorHAnsi" w:hAnsiTheme="minorHAnsi" w:cs="Arial"/>
          <w:i/>
          <w:sz w:val="20"/>
          <w:szCs w:val="20"/>
          <w:lang w:val="en-AU"/>
        </w:rPr>
      </w:pPr>
      <w:r w:rsidRPr="007020D6">
        <w:rPr>
          <w:rFonts w:asciiTheme="minorHAnsi" w:hAnsiTheme="minorHAnsi" w:cs="Arial"/>
          <w:i/>
          <w:sz w:val="20"/>
          <w:szCs w:val="20"/>
          <w:lang w:val="en-AU"/>
        </w:rPr>
        <w:tab/>
      </w:r>
      <w:hyperlink r:id="rId7" w:history="1">
        <w:r w:rsidRPr="007E1566">
          <w:rPr>
            <w:rStyle w:val="Hyperlink"/>
            <w:rFonts w:asciiTheme="minorHAnsi" w:hAnsiTheme="minorHAnsi" w:cs="Arial"/>
            <w:i/>
            <w:sz w:val="20"/>
            <w:szCs w:val="20"/>
            <w:lang w:val="en-AU"/>
          </w:rPr>
          <w:t>www.ohchr.org/EN/Issues/Pages/WhatareHumanRights.aspx</w:t>
        </w:r>
      </w:hyperlink>
    </w:p>
    <w:p w:rsidR="00D77383" w:rsidRPr="001F391B" w:rsidRDefault="00D77383" w:rsidP="001F391B">
      <w:pPr>
        <w:ind w:left="720"/>
        <w:rPr>
          <w:rFonts w:asciiTheme="minorHAnsi" w:hAnsiTheme="minorHAnsi" w:cs="Arial"/>
          <w:i/>
          <w:iCs/>
          <w:sz w:val="20"/>
          <w:szCs w:val="20"/>
        </w:rPr>
      </w:pPr>
    </w:p>
    <w:p w:rsidR="001016B6" w:rsidRDefault="001016B6" w:rsidP="00A27A5F">
      <w:pPr>
        <w:rPr>
          <w:rFonts w:asciiTheme="minorHAnsi" w:hAnsiTheme="minorHAnsi"/>
          <w:sz w:val="20"/>
          <w:szCs w:val="20"/>
        </w:rPr>
      </w:pPr>
      <w:r w:rsidRPr="001016B6">
        <w:rPr>
          <w:rFonts w:asciiTheme="minorHAnsi" w:hAnsiTheme="minorHAnsi"/>
          <w:sz w:val="20"/>
          <w:szCs w:val="20"/>
        </w:rPr>
        <w:t xml:space="preserve">The </w:t>
      </w:r>
      <w:r w:rsidRPr="001016B6">
        <w:rPr>
          <w:rFonts w:asciiTheme="minorHAnsi" w:hAnsiTheme="minorHAnsi"/>
          <w:b/>
          <w:iCs/>
          <w:sz w:val="20"/>
          <w:szCs w:val="20"/>
        </w:rPr>
        <w:t xml:space="preserve">Conflict-Affected Areas </w:t>
      </w:r>
      <w:r w:rsidRPr="001016B6">
        <w:rPr>
          <w:rFonts w:asciiTheme="minorHAnsi" w:hAnsiTheme="minorHAnsi"/>
          <w:iCs/>
          <w:sz w:val="20"/>
          <w:szCs w:val="20"/>
        </w:rPr>
        <w:t>section of the COP is applicable to Members that operate in</w:t>
      </w:r>
      <w:r w:rsidR="003A456E">
        <w:rPr>
          <w:rFonts w:asciiTheme="minorHAnsi" w:hAnsiTheme="minorHAnsi"/>
          <w:iCs/>
          <w:sz w:val="20"/>
          <w:szCs w:val="20"/>
        </w:rPr>
        <w:t>,</w:t>
      </w:r>
      <w:r w:rsidRPr="001016B6">
        <w:rPr>
          <w:rFonts w:asciiTheme="minorHAnsi" w:hAnsiTheme="minorHAnsi"/>
          <w:iCs/>
          <w:sz w:val="20"/>
          <w:szCs w:val="20"/>
        </w:rPr>
        <w:t xml:space="preserve"> or source </w:t>
      </w:r>
      <w:r w:rsidRPr="001016B6">
        <w:rPr>
          <w:rFonts w:asciiTheme="minorHAnsi" w:hAnsiTheme="minorHAnsi"/>
          <w:sz w:val="20"/>
          <w:szCs w:val="20"/>
        </w:rPr>
        <w:t>Diamonds, Gold or Platinum Group Metals directly from</w:t>
      </w:r>
      <w:r w:rsidR="003A456E">
        <w:rPr>
          <w:rFonts w:asciiTheme="minorHAnsi" w:hAnsiTheme="minorHAnsi"/>
          <w:sz w:val="20"/>
          <w:szCs w:val="20"/>
        </w:rPr>
        <w:t>,</w:t>
      </w:r>
      <w:r w:rsidRPr="001016B6">
        <w:rPr>
          <w:rFonts w:asciiTheme="minorHAnsi" w:hAnsiTheme="minorHAnsi"/>
          <w:sz w:val="20"/>
          <w:szCs w:val="20"/>
        </w:rPr>
        <w:t xml:space="preserve"> a Conflict-Affected Area</w:t>
      </w:r>
      <w:r>
        <w:rPr>
          <w:rFonts w:asciiTheme="minorHAnsi" w:hAnsiTheme="minorHAnsi"/>
          <w:sz w:val="20"/>
          <w:szCs w:val="20"/>
        </w:rPr>
        <w:t xml:space="preserve">.  </w:t>
      </w:r>
    </w:p>
    <w:p w:rsidR="001016B6" w:rsidRDefault="001016B6" w:rsidP="00A27A5F">
      <w:pPr>
        <w:rPr>
          <w:rFonts w:asciiTheme="minorHAnsi" w:hAnsiTheme="minorHAnsi"/>
          <w:sz w:val="20"/>
          <w:szCs w:val="20"/>
        </w:rPr>
      </w:pPr>
    </w:p>
    <w:p w:rsidR="001016B6" w:rsidRDefault="001016B6" w:rsidP="001016B6">
      <w:pPr>
        <w:rPr>
          <w:rFonts w:cs="Arial"/>
          <w:sz w:val="20"/>
          <w:szCs w:val="20"/>
        </w:rPr>
      </w:pPr>
      <w:r w:rsidRPr="00BF0A96">
        <w:rPr>
          <w:rFonts w:cs="Arial"/>
          <w:sz w:val="20"/>
          <w:szCs w:val="20"/>
        </w:rPr>
        <w:t>The</w:t>
      </w:r>
      <w:r>
        <w:rPr>
          <w:rFonts w:cs="Arial"/>
          <w:sz w:val="20"/>
          <w:szCs w:val="20"/>
        </w:rPr>
        <w:t xml:space="preserve"> </w:t>
      </w:r>
      <w:r w:rsidRPr="001016B6">
        <w:rPr>
          <w:rFonts w:asciiTheme="minorHAnsi" w:hAnsiTheme="minorHAnsi"/>
          <w:b/>
          <w:iCs/>
          <w:sz w:val="20"/>
          <w:szCs w:val="20"/>
        </w:rPr>
        <w:t>Conflict-Affected Areas</w:t>
      </w:r>
      <w:r w:rsidRPr="007020D6">
        <w:rPr>
          <w:rFonts w:cs="Arial"/>
          <w:sz w:val="20"/>
          <w:szCs w:val="20"/>
        </w:rPr>
        <w:t xml:space="preserve"> </w:t>
      </w:r>
      <w:r>
        <w:rPr>
          <w:rFonts w:cs="Arial"/>
          <w:sz w:val="20"/>
          <w:szCs w:val="20"/>
        </w:rPr>
        <w:t>section</w:t>
      </w:r>
      <w:r w:rsidRPr="007020D6">
        <w:rPr>
          <w:rFonts w:cs="Arial"/>
          <w:sz w:val="20"/>
          <w:szCs w:val="20"/>
        </w:rPr>
        <w:t xml:space="preserve"> of the COP should be read and implemented in conjunction with </w:t>
      </w:r>
      <w:r>
        <w:rPr>
          <w:rFonts w:cs="Arial"/>
          <w:sz w:val="20"/>
          <w:szCs w:val="20"/>
        </w:rPr>
        <w:t>the</w:t>
      </w:r>
      <w:r w:rsidRPr="00893723">
        <w:rPr>
          <w:rFonts w:cs="Arial"/>
          <w:b/>
          <w:sz w:val="20"/>
          <w:szCs w:val="20"/>
        </w:rPr>
        <w:t xml:space="preserve"> </w:t>
      </w:r>
      <w:r w:rsidR="00133259">
        <w:rPr>
          <w:rFonts w:cs="Arial"/>
          <w:b/>
          <w:color w:val="31849B" w:themeColor="accent5" w:themeShade="BF"/>
          <w:sz w:val="20"/>
          <w:szCs w:val="20"/>
        </w:rPr>
        <w:t xml:space="preserve">Sustainability Reporting, </w:t>
      </w:r>
      <w:r w:rsidR="00133259" w:rsidRPr="00102775">
        <w:rPr>
          <w:rFonts w:cs="Arial"/>
          <w:b/>
          <w:color w:val="31849B" w:themeColor="accent5" w:themeShade="BF"/>
          <w:sz w:val="20"/>
          <w:szCs w:val="20"/>
        </w:rPr>
        <w:t>H</w:t>
      </w:r>
      <w:r w:rsidRPr="00102775">
        <w:rPr>
          <w:rFonts w:cs="Arial"/>
          <w:b/>
          <w:color w:val="31849B" w:themeColor="accent5" w:themeShade="BF"/>
          <w:sz w:val="20"/>
          <w:szCs w:val="20"/>
        </w:rPr>
        <w:t xml:space="preserve">uman Rights, </w:t>
      </w:r>
      <w:r w:rsidR="00102775" w:rsidRPr="00102775">
        <w:rPr>
          <w:rFonts w:asciiTheme="minorHAnsi" w:hAnsiTheme="minorHAnsi" w:cs="Arial"/>
          <w:b/>
          <w:color w:val="31849B" w:themeColor="accent5" w:themeShade="BF"/>
          <w:sz w:val="20"/>
          <w:szCs w:val="20"/>
          <w:lang w:val="en-AU"/>
        </w:rPr>
        <w:t>Bribery and Facilitation Payments</w:t>
      </w:r>
      <w:r w:rsidR="00102775" w:rsidRPr="00102775">
        <w:rPr>
          <w:rFonts w:cs="Arial"/>
          <w:b/>
          <w:color w:val="31849B" w:themeColor="accent5" w:themeShade="BF"/>
          <w:sz w:val="20"/>
          <w:szCs w:val="20"/>
        </w:rPr>
        <w:t xml:space="preserve"> </w:t>
      </w:r>
      <w:r w:rsidRPr="00102775">
        <w:rPr>
          <w:rFonts w:cs="Arial"/>
          <w:b/>
          <w:color w:val="31849B" w:themeColor="accent5" w:themeShade="BF"/>
          <w:sz w:val="20"/>
          <w:szCs w:val="20"/>
        </w:rPr>
        <w:t>Security,</w:t>
      </w:r>
      <w:r>
        <w:rPr>
          <w:rFonts w:cs="Arial"/>
          <w:b/>
          <w:color w:val="31849B" w:themeColor="accent5" w:themeShade="BF"/>
          <w:sz w:val="20"/>
          <w:szCs w:val="20"/>
        </w:rPr>
        <w:t xml:space="preserve"> Community Engagemen</w:t>
      </w:r>
      <w:r w:rsidR="00831046">
        <w:rPr>
          <w:rFonts w:cs="Arial"/>
          <w:b/>
          <w:color w:val="31849B" w:themeColor="accent5" w:themeShade="BF"/>
          <w:sz w:val="20"/>
          <w:szCs w:val="20"/>
        </w:rPr>
        <w:t>t</w:t>
      </w:r>
      <w:r w:rsidRPr="005424CE">
        <w:rPr>
          <w:rFonts w:cs="Arial"/>
          <w:sz w:val="20"/>
          <w:szCs w:val="20"/>
        </w:rPr>
        <w:t>, and</w:t>
      </w:r>
      <w:r w:rsidRPr="001016B6">
        <w:rPr>
          <w:rFonts w:cs="Arial"/>
          <w:color w:val="31849B" w:themeColor="accent5" w:themeShade="BF"/>
          <w:sz w:val="20"/>
          <w:szCs w:val="20"/>
        </w:rPr>
        <w:t xml:space="preserve"> </w:t>
      </w:r>
      <w:r>
        <w:rPr>
          <w:rFonts w:cs="Arial"/>
          <w:b/>
          <w:color w:val="31849B" w:themeColor="accent5" w:themeShade="BF"/>
          <w:sz w:val="20"/>
          <w:szCs w:val="20"/>
        </w:rPr>
        <w:t>Impact Assessment</w:t>
      </w:r>
      <w:r>
        <w:rPr>
          <w:rFonts w:cs="Arial"/>
          <w:color w:val="31849B" w:themeColor="accent5" w:themeShade="BF"/>
          <w:sz w:val="20"/>
          <w:szCs w:val="20"/>
        </w:rPr>
        <w:t xml:space="preserve"> </w:t>
      </w:r>
      <w:r w:rsidRPr="005424CE">
        <w:rPr>
          <w:rFonts w:cs="Arial"/>
          <w:sz w:val="20"/>
          <w:szCs w:val="20"/>
        </w:rPr>
        <w:t>sections of the COP, as appropriate.</w:t>
      </w:r>
    </w:p>
    <w:p w:rsidR="00A27A5F" w:rsidRPr="001F391B" w:rsidRDefault="00A27A5F" w:rsidP="00A27A5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A27A5F" w:rsidRPr="001F391B" w:rsidTr="00040DB8">
        <w:tc>
          <w:tcPr>
            <w:tcW w:w="8522" w:type="dxa"/>
            <w:shd w:val="clear" w:color="auto" w:fill="CCC0D9" w:themeFill="accent4" w:themeFillTint="66"/>
          </w:tcPr>
          <w:p w:rsidR="00A27A5F" w:rsidRPr="001F391B" w:rsidRDefault="00A27A5F" w:rsidP="00040DB8">
            <w:pPr>
              <w:numPr>
                <w:ilvl w:val="0"/>
                <w:numId w:val="1"/>
              </w:numPr>
              <w:rPr>
                <w:rFonts w:asciiTheme="minorHAnsi" w:hAnsiTheme="minorHAnsi" w:cs="Arial"/>
                <w:b/>
              </w:rPr>
            </w:pPr>
            <w:r w:rsidRPr="001F391B">
              <w:rPr>
                <w:rFonts w:asciiTheme="minorHAnsi" w:hAnsiTheme="minorHAnsi" w:cs="Arial"/>
                <w:b/>
              </w:rPr>
              <w:t>Issue background</w:t>
            </w:r>
          </w:p>
        </w:tc>
      </w:tr>
    </w:tbl>
    <w:p w:rsidR="00A27A5F" w:rsidRPr="001F391B" w:rsidRDefault="00A27A5F" w:rsidP="001016B6"/>
    <w:p w:rsidR="00AF1FD9" w:rsidRDefault="000228A6" w:rsidP="001A6064">
      <w:pPr>
        <w:rPr>
          <w:rFonts w:eastAsiaTheme="minorHAnsi" w:cs="DIN-Regular"/>
          <w:sz w:val="20"/>
          <w:szCs w:val="20"/>
          <w:lang w:val="en-US" w:eastAsia="en-US"/>
        </w:rPr>
      </w:pPr>
      <w:r>
        <w:rPr>
          <w:rFonts w:eastAsiaTheme="minorHAnsi" w:cs="DIN-Regular"/>
          <w:sz w:val="20"/>
          <w:szCs w:val="20"/>
          <w:lang w:val="en-US" w:eastAsia="en-US"/>
        </w:rPr>
        <w:t>T</w:t>
      </w:r>
      <w:r w:rsidR="00AF1FD9">
        <w:rPr>
          <w:rFonts w:eastAsiaTheme="minorHAnsi" w:cs="DIN-Regular"/>
          <w:sz w:val="20"/>
          <w:szCs w:val="20"/>
          <w:lang w:val="en-US" w:eastAsia="en-US"/>
        </w:rPr>
        <w:t xml:space="preserve">he guidance chapter for </w:t>
      </w:r>
      <w:r w:rsidR="00102775" w:rsidRPr="00102775">
        <w:rPr>
          <w:rFonts w:eastAsiaTheme="minorHAnsi" w:cs="DIN-Regular"/>
          <w:b/>
          <w:color w:val="31849B" w:themeColor="accent5" w:themeShade="BF"/>
          <w:sz w:val="20"/>
          <w:szCs w:val="20"/>
          <w:lang w:val="en-US" w:eastAsia="en-US"/>
        </w:rPr>
        <w:t xml:space="preserve">Human </w:t>
      </w:r>
      <w:r w:rsidR="00AF1FD9" w:rsidRPr="00102775">
        <w:rPr>
          <w:rFonts w:eastAsiaTheme="minorHAnsi" w:cs="DIN-Regular"/>
          <w:b/>
          <w:color w:val="31849B" w:themeColor="accent5" w:themeShade="BF"/>
          <w:sz w:val="20"/>
          <w:szCs w:val="20"/>
          <w:lang w:val="en-US" w:eastAsia="en-US"/>
        </w:rPr>
        <w:t>Rights</w:t>
      </w:r>
      <w:r w:rsidR="00AF1FD9">
        <w:rPr>
          <w:rFonts w:eastAsiaTheme="minorHAnsi" w:cs="DIN-Regular"/>
          <w:sz w:val="20"/>
          <w:szCs w:val="20"/>
          <w:lang w:val="en-US" w:eastAsia="en-US"/>
        </w:rPr>
        <w:t xml:space="preserve"> should be read in conjunction with this chapter.</w:t>
      </w:r>
    </w:p>
    <w:p w:rsidR="00AF1FD9" w:rsidRDefault="00AF1FD9" w:rsidP="001A6064">
      <w:pPr>
        <w:rPr>
          <w:rFonts w:eastAsiaTheme="minorHAnsi" w:cs="DIN-Regular"/>
          <w:sz w:val="20"/>
          <w:szCs w:val="20"/>
          <w:lang w:val="en-US" w:eastAsia="en-US"/>
        </w:rPr>
      </w:pPr>
    </w:p>
    <w:p w:rsidR="00E87738" w:rsidRPr="00E87738" w:rsidRDefault="00E87738" w:rsidP="00E87738">
      <w:pPr>
        <w:rPr>
          <w:rFonts w:eastAsiaTheme="minorHAnsi" w:cs="DIN-Regular"/>
          <w:sz w:val="20"/>
          <w:szCs w:val="20"/>
          <w:lang w:val="en-US" w:eastAsia="en-US"/>
        </w:rPr>
      </w:pPr>
      <w:r w:rsidRPr="00E87738">
        <w:rPr>
          <w:rFonts w:eastAsiaTheme="minorHAnsi" w:cs="DIN-Regular"/>
          <w:sz w:val="20"/>
          <w:szCs w:val="20"/>
          <w:lang w:val="en-US" w:eastAsia="en-US"/>
        </w:rPr>
        <w:t xml:space="preserve">Conflict-affected areas are identified by the presence of armed conflict, widespread violence or other risks of harm to people.  Some of the worst human rights abuses involving business occur amid conflict over the control of territory, resources or a government itself – where the human rights regime cannot be expected to function as intended. Responsible businesses increasingly seek guidance about how to avoid contributing to human rights harm in these difficult contexts.  In recent years, guidance has been developed by the </w:t>
      </w:r>
      <w:r w:rsidRPr="00E87738">
        <w:rPr>
          <w:rFonts w:eastAsiaTheme="minorHAnsi" w:cs="DIN-Regular"/>
          <w:sz w:val="20"/>
          <w:szCs w:val="20"/>
          <w:lang w:val="en-US" w:eastAsia="en-US"/>
        </w:rPr>
        <w:lastRenderedPageBreak/>
        <w:t xml:space="preserve">Organisation for Economic Cooperation and Development (OECD) and the UN Global Compact on responsible practices for businesses operating in such areas. </w:t>
      </w:r>
    </w:p>
    <w:p w:rsidR="00E87738" w:rsidRPr="00E87738" w:rsidRDefault="00E87738" w:rsidP="00E87738">
      <w:pPr>
        <w:rPr>
          <w:rFonts w:eastAsiaTheme="minorHAnsi" w:cs="DIN-Regular"/>
          <w:sz w:val="20"/>
          <w:szCs w:val="20"/>
          <w:lang w:val="en-US" w:eastAsia="en-US"/>
        </w:rPr>
      </w:pPr>
    </w:p>
    <w:p w:rsidR="00E87738" w:rsidRPr="00E87738" w:rsidRDefault="00E87738" w:rsidP="00E87738">
      <w:pPr>
        <w:rPr>
          <w:rFonts w:eastAsiaTheme="minorHAnsi" w:cs="DIN-Regular"/>
          <w:sz w:val="20"/>
          <w:szCs w:val="20"/>
          <w:lang w:val="en-US" w:eastAsia="en-US"/>
        </w:rPr>
      </w:pPr>
      <w:r>
        <w:rPr>
          <w:rFonts w:eastAsiaTheme="minorHAnsi" w:cs="DIN-Regular"/>
          <w:sz w:val="20"/>
          <w:szCs w:val="20"/>
          <w:lang w:val="en-US" w:eastAsia="en-US"/>
        </w:rPr>
        <w:t>C</w:t>
      </w:r>
      <w:r w:rsidRPr="00BD3D00">
        <w:rPr>
          <w:rFonts w:eastAsiaTheme="minorHAnsi" w:cs="DIN-Regular"/>
          <w:sz w:val="20"/>
          <w:szCs w:val="20"/>
          <w:lang w:val="en-US" w:eastAsia="en-US"/>
        </w:rPr>
        <w:t>onflict</w:t>
      </w:r>
      <w:r>
        <w:rPr>
          <w:rFonts w:eastAsiaTheme="minorHAnsi" w:cs="DIN-Regular"/>
          <w:sz w:val="20"/>
          <w:szCs w:val="20"/>
          <w:lang w:val="en-US" w:eastAsia="en-US"/>
        </w:rPr>
        <w:t xml:space="preserve"> threatens human rights</w:t>
      </w:r>
      <w:r w:rsidRPr="00BD3D00">
        <w:rPr>
          <w:rFonts w:eastAsiaTheme="minorHAnsi" w:cs="DIN-Regular"/>
          <w:sz w:val="20"/>
          <w:szCs w:val="20"/>
          <w:lang w:val="en-US" w:eastAsia="en-US"/>
        </w:rPr>
        <w:t xml:space="preserve">, security and the social fabric of </w:t>
      </w:r>
      <w:r>
        <w:rPr>
          <w:rFonts w:eastAsiaTheme="minorHAnsi" w:cs="DIN-Regular"/>
          <w:sz w:val="20"/>
          <w:szCs w:val="20"/>
          <w:lang w:val="en-US" w:eastAsia="en-US"/>
        </w:rPr>
        <w:t xml:space="preserve">a </w:t>
      </w:r>
      <w:r w:rsidRPr="00BD3D00">
        <w:rPr>
          <w:rFonts w:eastAsiaTheme="minorHAnsi" w:cs="DIN-Regular"/>
          <w:sz w:val="20"/>
          <w:szCs w:val="20"/>
          <w:lang w:val="en-US" w:eastAsia="en-US"/>
        </w:rPr>
        <w:t>country or region.</w:t>
      </w:r>
      <w:r>
        <w:rPr>
          <w:rFonts w:eastAsiaTheme="minorHAnsi" w:cs="DIN-Regular"/>
          <w:sz w:val="20"/>
          <w:szCs w:val="20"/>
          <w:lang w:val="en-US" w:eastAsia="en-US"/>
        </w:rPr>
        <w:t xml:space="preserve"> </w:t>
      </w:r>
      <w:r w:rsidRPr="00E87738">
        <w:rPr>
          <w:rFonts w:eastAsiaTheme="minorHAnsi" w:cs="DIN-Regular"/>
          <w:sz w:val="20"/>
          <w:szCs w:val="20"/>
          <w:lang w:val="en-US" w:eastAsia="en-US"/>
        </w:rPr>
        <w:t>In conflict-affected areas, the “host” State may be unable to protect human rights adequately due to a lack of effective control. Where transnational corporations are involved, their “home” States can play roles in assisting both those corporations and host States to ensure that businesses are not involved with human rights abuse.</w:t>
      </w:r>
    </w:p>
    <w:p w:rsidR="00E87738" w:rsidRDefault="00E87738" w:rsidP="001A6064">
      <w:pPr>
        <w:rPr>
          <w:rFonts w:eastAsiaTheme="minorHAnsi" w:cs="DIN-Regular"/>
          <w:sz w:val="20"/>
          <w:szCs w:val="20"/>
          <w:lang w:val="en-US" w:eastAsia="en-US"/>
        </w:rPr>
      </w:pPr>
    </w:p>
    <w:p w:rsidR="001A6064" w:rsidRPr="001A6064" w:rsidRDefault="001A6064" w:rsidP="001A6064">
      <w:pPr>
        <w:rPr>
          <w:rFonts w:cs="Calibri"/>
        </w:rPr>
      </w:pPr>
      <w:r>
        <w:rPr>
          <w:rFonts w:eastAsiaTheme="minorHAnsi" w:cs="DIN-Regular"/>
          <w:sz w:val="20"/>
          <w:szCs w:val="20"/>
          <w:lang w:val="en-US" w:eastAsia="en-US"/>
        </w:rPr>
        <w:t>P</w:t>
      </w:r>
      <w:r w:rsidRPr="001016B6">
        <w:rPr>
          <w:rFonts w:eastAsiaTheme="minorHAnsi" w:cs="DIN-Regular"/>
          <w:sz w:val="20"/>
          <w:szCs w:val="20"/>
          <w:lang w:val="en-US" w:eastAsia="en-US"/>
        </w:rPr>
        <w:t xml:space="preserve">roduction of diamonds, gold and platinum group metals </w:t>
      </w:r>
      <w:r w:rsidR="00E87738">
        <w:rPr>
          <w:rFonts w:eastAsiaTheme="minorHAnsi" w:cs="DIN-Regular"/>
          <w:sz w:val="20"/>
          <w:szCs w:val="20"/>
          <w:lang w:val="en-US" w:eastAsia="en-US"/>
        </w:rPr>
        <w:t xml:space="preserve">can sometimes </w:t>
      </w:r>
      <w:r w:rsidRPr="001016B6">
        <w:rPr>
          <w:rFonts w:eastAsiaTheme="minorHAnsi" w:cs="DIN-Regular"/>
          <w:sz w:val="20"/>
          <w:szCs w:val="20"/>
          <w:lang w:val="en-US" w:eastAsia="en-US"/>
        </w:rPr>
        <w:t>provide opportunities</w:t>
      </w:r>
      <w:r>
        <w:rPr>
          <w:rFonts w:eastAsiaTheme="minorHAnsi" w:cs="DIN-Regular"/>
          <w:sz w:val="20"/>
          <w:szCs w:val="20"/>
          <w:lang w:val="en-US" w:eastAsia="en-US"/>
        </w:rPr>
        <w:t xml:space="preserve"> for the financing of</w:t>
      </w:r>
      <w:r w:rsidRPr="001016B6">
        <w:rPr>
          <w:rFonts w:eastAsiaTheme="minorHAnsi" w:cs="DIN-Regular"/>
          <w:sz w:val="20"/>
          <w:szCs w:val="20"/>
          <w:lang w:val="en-US" w:eastAsia="en-US"/>
        </w:rPr>
        <w:t xml:space="preserve"> illegal armed groups</w:t>
      </w:r>
      <w:r>
        <w:rPr>
          <w:rFonts w:eastAsiaTheme="minorHAnsi" w:cs="DIN-Regular"/>
          <w:sz w:val="20"/>
          <w:szCs w:val="20"/>
          <w:lang w:val="en-US" w:eastAsia="en-US"/>
        </w:rPr>
        <w:t xml:space="preserve">, </w:t>
      </w:r>
      <w:r w:rsidR="00E87738">
        <w:rPr>
          <w:rFonts w:eastAsiaTheme="minorHAnsi" w:cs="DIN-Regular"/>
          <w:sz w:val="20"/>
          <w:szCs w:val="20"/>
          <w:lang w:val="en-US" w:eastAsia="en-US"/>
        </w:rPr>
        <w:t>which</w:t>
      </w:r>
      <w:r>
        <w:rPr>
          <w:rFonts w:eastAsiaTheme="minorHAnsi" w:cs="DIN-Regular"/>
          <w:sz w:val="20"/>
          <w:szCs w:val="20"/>
          <w:lang w:val="en-US" w:eastAsia="en-US"/>
        </w:rPr>
        <w:t xml:space="preserve"> can trigger and accelerate conflict</w:t>
      </w:r>
      <w:r w:rsidRPr="001016B6">
        <w:rPr>
          <w:rFonts w:eastAsiaTheme="minorHAnsi" w:cs="DIN-Regular"/>
          <w:sz w:val="20"/>
          <w:szCs w:val="20"/>
          <w:lang w:val="en-US" w:eastAsia="en-US"/>
        </w:rPr>
        <w:t xml:space="preserve">. </w:t>
      </w:r>
      <w:r w:rsidR="00E87738">
        <w:rPr>
          <w:rFonts w:eastAsiaTheme="minorHAnsi" w:cs="DIN-Regular"/>
          <w:sz w:val="20"/>
          <w:szCs w:val="20"/>
          <w:lang w:val="en-US" w:eastAsia="en-US"/>
        </w:rPr>
        <w:t xml:space="preserve"> H</w:t>
      </w:r>
      <w:r>
        <w:rPr>
          <w:rFonts w:eastAsiaTheme="minorHAnsi" w:cs="DIN-Regular"/>
          <w:sz w:val="20"/>
          <w:szCs w:val="20"/>
          <w:lang w:val="en-US" w:eastAsia="en-US"/>
        </w:rPr>
        <w:t>owever</w:t>
      </w:r>
      <w:r w:rsidR="001D4DFF">
        <w:rPr>
          <w:rFonts w:eastAsiaTheme="minorHAnsi" w:cs="DIN-Regular"/>
          <w:sz w:val="20"/>
          <w:szCs w:val="20"/>
          <w:lang w:val="en-US" w:eastAsia="en-US"/>
        </w:rPr>
        <w:t xml:space="preserve"> it is important to stress that</w:t>
      </w:r>
      <w:r>
        <w:rPr>
          <w:rFonts w:eastAsiaTheme="minorHAnsi" w:cs="DIN-Regular"/>
          <w:sz w:val="20"/>
          <w:szCs w:val="20"/>
          <w:lang w:val="en-US" w:eastAsia="en-US"/>
        </w:rPr>
        <w:t xml:space="preserve"> </w:t>
      </w:r>
      <w:r>
        <w:rPr>
          <w:rFonts w:cs="Calibri"/>
          <w:sz w:val="20"/>
          <w:szCs w:val="20"/>
        </w:rPr>
        <w:t>mining facilities located in a conflict-affected a</w:t>
      </w:r>
      <w:r w:rsidRPr="001016B6">
        <w:rPr>
          <w:rFonts w:cs="Calibri"/>
          <w:sz w:val="20"/>
          <w:szCs w:val="20"/>
        </w:rPr>
        <w:t>rea ar</w:t>
      </w:r>
      <w:r>
        <w:rPr>
          <w:rFonts w:cs="Calibri"/>
          <w:sz w:val="20"/>
          <w:szCs w:val="20"/>
        </w:rPr>
        <w:t>e not necessarily complicit in c</w:t>
      </w:r>
      <w:r w:rsidRPr="001016B6">
        <w:rPr>
          <w:rFonts w:cs="Calibri"/>
          <w:sz w:val="20"/>
          <w:szCs w:val="20"/>
        </w:rPr>
        <w:t>onflict, and can provide important economic and other social development benefits to local communities</w:t>
      </w:r>
      <w:r w:rsidR="001D4DFF">
        <w:rPr>
          <w:rFonts w:cs="Calibri"/>
          <w:sz w:val="20"/>
          <w:szCs w:val="20"/>
        </w:rPr>
        <w:t xml:space="preserve"> which may be vital against a background of conflict and instability</w:t>
      </w:r>
      <w:r w:rsidRPr="001016B6">
        <w:rPr>
          <w:rFonts w:cs="Calibri"/>
          <w:sz w:val="20"/>
          <w:szCs w:val="20"/>
        </w:rPr>
        <w:t>.</w:t>
      </w:r>
      <w:r>
        <w:rPr>
          <w:rFonts w:cs="Calibri"/>
        </w:rPr>
        <w:t xml:space="preserve">  </w:t>
      </w:r>
    </w:p>
    <w:p w:rsidR="001A6064" w:rsidRDefault="001A6064" w:rsidP="001A6064">
      <w:pPr>
        <w:rPr>
          <w:rFonts w:eastAsiaTheme="minorHAnsi" w:cs="DIN-Regular"/>
          <w:sz w:val="20"/>
          <w:szCs w:val="20"/>
          <w:lang w:val="en-US" w:eastAsia="en-US"/>
        </w:rPr>
      </w:pPr>
    </w:p>
    <w:p w:rsidR="00133259" w:rsidRDefault="00474F27" w:rsidP="0035675B">
      <w:pPr>
        <w:rPr>
          <w:rFonts w:asciiTheme="minorHAnsi" w:hAnsiTheme="minorHAnsi" w:cs="Arial"/>
          <w:sz w:val="20"/>
          <w:szCs w:val="20"/>
        </w:rPr>
      </w:pPr>
      <w:r>
        <w:rPr>
          <w:rFonts w:asciiTheme="minorHAnsi" w:hAnsiTheme="minorHAnsi" w:cs="Arial"/>
          <w:sz w:val="20"/>
          <w:szCs w:val="20"/>
        </w:rPr>
        <w:t>Companies</w:t>
      </w:r>
      <w:r w:rsidR="00AF1FD9">
        <w:rPr>
          <w:rFonts w:asciiTheme="minorHAnsi" w:hAnsiTheme="minorHAnsi" w:cs="Arial"/>
          <w:sz w:val="20"/>
          <w:szCs w:val="20"/>
        </w:rPr>
        <w:t xml:space="preserve"> must</w:t>
      </w:r>
      <w:r>
        <w:rPr>
          <w:rFonts w:asciiTheme="minorHAnsi" w:hAnsiTheme="minorHAnsi" w:cs="Arial"/>
          <w:sz w:val="20"/>
          <w:szCs w:val="20"/>
        </w:rPr>
        <w:t xml:space="preserve"> ensure that they do not contribute to conflict, </w:t>
      </w:r>
      <w:r w:rsidRPr="00474F27">
        <w:rPr>
          <w:sz w:val="20"/>
          <w:szCs w:val="20"/>
          <w:lang w:val="en-AU"/>
        </w:rPr>
        <w:t>either through their own activities or directly linked to their operations, products or services through their business relationships</w:t>
      </w:r>
      <w:r>
        <w:rPr>
          <w:rFonts w:eastAsiaTheme="minorHAnsi" w:cs="DIN-Regular"/>
          <w:sz w:val="20"/>
          <w:szCs w:val="20"/>
          <w:lang w:val="en-US" w:eastAsia="en-US"/>
        </w:rPr>
        <w:t xml:space="preserve">. </w:t>
      </w:r>
      <w:r w:rsidR="001A6064">
        <w:rPr>
          <w:rFonts w:eastAsiaTheme="minorHAnsi" w:cs="DIN-Regular"/>
          <w:sz w:val="20"/>
          <w:szCs w:val="20"/>
          <w:lang w:val="en-US" w:eastAsia="en-US"/>
        </w:rPr>
        <w:t xml:space="preserve"> The obligation</w:t>
      </w:r>
      <w:r>
        <w:rPr>
          <w:rFonts w:eastAsiaTheme="minorHAnsi" w:cs="DIN-Regular"/>
          <w:sz w:val="20"/>
          <w:szCs w:val="20"/>
          <w:lang w:val="en-US" w:eastAsia="en-US"/>
        </w:rPr>
        <w:t xml:space="preserve"> </w:t>
      </w:r>
      <w:r w:rsidR="001A6064">
        <w:rPr>
          <w:rFonts w:eastAsiaTheme="minorHAnsi" w:cs="DIN-Regular"/>
          <w:sz w:val="20"/>
          <w:szCs w:val="20"/>
          <w:lang w:val="en-US" w:eastAsia="en-US"/>
        </w:rPr>
        <w:t xml:space="preserve">to </w:t>
      </w:r>
      <w:r w:rsidR="001A6064" w:rsidRPr="00474F27">
        <w:rPr>
          <w:rFonts w:eastAsiaTheme="minorHAnsi" w:cs="DIN-Regular"/>
          <w:sz w:val="20"/>
          <w:szCs w:val="20"/>
          <w:lang w:val="en-US" w:eastAsia="en-US"/>
        </w:rPr>
        <w:t>avoid contributing to conflict should be a component of</w:t>
      </w:r>
      <w:r w:rsidR="001A6064">
        <w:rPr>
          <w:rFonts w:eastAsiaTheme="minorHAnsi" w:cs="DIN-Regular"/>
          <w:sz w:val="20"/>
          <w:szCs w:val="20"/>
          <w:lang w:val="en-US" w:eastAsia="en-US"/>
        </w:rPr>
        <w:t xml:space="preserve"> </w:t>
      </w:r>
      <w:r>
        <w:rPr>
          <w:rFonts w:asciiTheme="minorHAnsi" w:hAnsiTheme="minorHAnsi"/>
          <w:sz w:val="20"/>
          <w:szCs w:val="20"/>
        </w:rPr>
        <w:t>h</w:t>
      </w:r>
      <w:proofErr w:type="spellStart"/>
      <w:r>
        <w:rPr>
          <w:rFonts w:eastAsiaTheme="minorHAnsi" w:cs="DIN-Regular"/>
          <w:sz w:val="20"/>
          <w:szCs w:val="20"/>
          <w:lang w:val="en-US" w:eastAsia="en-US"/>
        </w:rPr>
        <w:t>uman</w:t>
      </w:r>
      <w:proofErr w:type="spellEnd"/>
      <w:r>
        <w:rPr>
          <w:rFonts w:eastAsiaTheme="minorHAnsi" w:cs="DIN-Regular"/>
          <w:sz w:val="20"/>
          <w:szCs w:val="20"/>
          <w:lang w:val="en-US" w:eastAsia="en-US"/>
        </w:rPr>
        <w:t xml:space="preserve"> rights due diligence</w:t>
      </w:r>
      <w:r w:rsidR="001A6064">
        <w:rPr>
          <w:rFonts w:eastAsiaTheme="minorHAnsi" w:cs="DIN-Regular"/>
          <w:sz w:val="20"/>
          <w:szCs w:val="20"/>
          <w:lang w:val="en-US" w:eastAsia="en-US"/>
        </w:rPr>
        <w:t xml:space="preserve"> and should </w:t>
      </w:r>
      <w:r w:rsidR="001A6064">
        <w:rPr>
          <w:rFonts w:asciiTheme="minorHAnsi" w:hAnsiTheme="minorHAnsi" w:cs="Arial"/>
          <w:sz w:val="20"/>
          <w:szCs w:val="20"/>
        </w:rPr>
        <w:t>specifically cover</w:t>
      </w:r>
      <w:r w:rsidR="00133259" w:rsidRPr="007020D6">
        <w:rPr>
          <w:rFonts w:asciiTheme="minorHAnsi" w:hAnsiTheme="minorHAnsi" w:cs="Arial"/>
          <w:sz w:val="20"/>
          <w:szCs w:val="20"/>
        </w:rPr>
        <w:t xml:space="preserve"> the risk of any direct or indirect </w:t>
      </w:r>
      <w:r w:rsidR="00133259" w:rsidRPr="00474F27">
        <w:rPr>
          <w:rFonts w:asciiTheme="minorHAnsi" w:hAnsiTheme="minorHAnsi" w:cs="Arial"/>
          <w:sz w:val="20"/>
          <w:szCs w:val="20"/>
        </w:rPr>
        <w:t xml:space="preserve">support to illegal armed groups, who are often the perpetrators of serious human rights abuses. </w:t>
      </w:r>
      <w:r>
        <w:rPr>
          <w:rFonts w:asciiTheme="minorHAnsi" w:hAnsiTheme="minorHAnsi" w:cs="Arial"/>
          <w:sz w:val="20"/>
          <w:szCs w:val="20"/>
        </w:rPr>
        <w:t xml:space="preserve"> </w:t>
      </w:r>
    </w:p>
    <w:p w:rsidR="003A2A5D" w:rsidRDefault="003A2A5D" w:rsidP="0035675B">
      <w:pPr>
        <w:rPr>
          <w:rFonts w:asciiTheme="minorHAnsi" w:hAnsiTheme="minorHAnsi" w:cs="Arial"/>
          <w:sz w:val="20"/>
          <w:szCs w:val="20"/>
        </w:rPr>
      </w:pPr>
    </w:p>
    <w:p w:rsidR="003A2A5D" w:rsidRPr="003A2A5D" w:rsidRDefault="003A2A5D" w:rsidP="003A2A5D">
      <w:pPr>
        <w:rPr>
          <w:rFonts w:asciiTheme="minorHAnsi" w:hAnsiTheme="minorHAnsi" w:cs="Arial"/>
          <w:b/>
          <w:i/>
          <w:sz w:val="20"/>
          <w:szCs w:val="20"/>
        </w:rPr>
      </w:pPr>
      <w:r w:rsidRPr="003A2A5D">
        <w:rPr>
          <w:rFonts w:asciiTheme="minorHAnsi" w:hAnsiTheme="minorHAnsi" w:cs="Arial"/>
          <w:b/>
          <w:i/>
          <w:sz w:val="20"/>
          <w:szCs w:val="20"/>
        </w:rPr>
        <w:t>Mining in conflict zones</w:t>
      </w:r>
    </w:p>
    <w:p w:rsidR="003A2A5D" w:rsidRPr="003A2A5D" w:rsidRDefault="003A2A5D" w:rsidP="003A2A5D">
      <w:pPr>
        <w:rPr>
          <w:rFonts w:asciiTheme="minorHAnsi" w:hAnsiTheme="minorHAnsi" w:cs="Arial"/>
          <w:sz w:val="20"/>
          <w:szCs w:val="20"/>
        </w:rPr>
      </w:pPr>
      <w:r w:rsidRPr="003A2A5D">
        <w:rPr>
          <w:rFonts w:asciiTheme="minorHAnsi" w:hAnsiTheme="minorHAnsi" w:cs="Arial"/>
          <w:sz w:val="20"/>
          <w:szCs w:val="20"/>
        </w:rPr>
        <w:t>Human rights abuses are more likely to occur in conflict zones.  Extractive industries in particular can find themselves close to the front-line of conflict when operating in conflict</w:t>
      </w:r>
      <w:r>
        <w:rPr>
          <w:rFonts w:asciiTheme="minorHAnsi" w:hAnsiTheme="minorHAnsi" w:cs="Arial"/>
          <w:sz w:val="20"/>
          <w:szCs w:val="20"/>
        </w:rPr>
        <w:t>-affected areas</w:t>
      </w:r>
      <w:r w:rsidRPr="003A2A5D">
        <w:rPr>
          <w:rFonts w:asciiTheme="minorHAnsi" w:hAnsiTheme="minorHAnsi" w:cs="Arial"/>
          <w:sz w:val="20"/>
          <w:szCs w:val="20"/>
        </w:rPr>
        <w:t xml:space="preserve">.  Mining activities can inadvertently trigger or sustain violence, or become the focus of resentment.  The range of costs imposed by conflict on companies can be direct and indirect. Direct costs most obviously relate to the increased cost of protecting staff and property. Indirect costs are those that impact the operating environment, only to rebound as costs on the company.  A ‘conflict-sensitive’ approach to doing business is one that seeks to avoid these costs by developing informed conflict-management strategies.  Companies need to avoid any complicity in harms committed in conflict situations.  </w:t>
      </w:r>
    </w:p>
    <w:p w:rsidR="003A2A5D" w:rsidRPr="003A2A5D" w:rsidRDefault="003A2A5D" w:rsidP="003A2A5D">
      <w:pPr>
        <w:rPr>
          <w:rFonts w:asciiTheme="minorHAnsi" w:hAnsiTheme="minorHAnsi" w:cs="Arial"/>
          <w:sz w:val="20"/>
          <w:szCs w:val="20"/>
        </w:rPr>
      </w:pPr>
    </w:p>
    <w:p w:rsidR="003A2A5D" w:rsidRPr="003A2A5D" w:rsidRDefault="003A2A5D" w:rsidP="003A2A5D">
      <w:pPr>
        <w:rPr>
          <w:rFonts w:asciiTheme="minorHAnsi" w:hAnsiTheme="minorHAnsi" w:cs="Arial"/>
          <w:sz w:val="20"/>
          <w:szCs w:val="20"/>
        </w:rPr>
      </w:pPr>
      <w:r w:rsidRPr="003A2A5D">
        <w:rPr>
          <w:rFonts w:asciiTheme="minorHAnsi" w:hAnsiTheme="minorHAnsi" w:cs="Arial"/>
          <w:sz w:val="20"/>
          <w:szCs w:val="20"/>
        </w:rPr>
        <w:t xml:space="preserve">Observation of national law in host societies is a primary obligation for RJC Members.  However in a conflict zone, laws may be inadequately enforced or fail to create the correct enabling environment for conflict-sensitive business practices. Companies should actively uphold relevant international instruments, ensuring their operations are in line with international law and good practice, even when governments are too weak to do so.  Key instruments include the Voluntary Principles on Security and Human Rights and the Extractive Industries Transparency Initiative.  These are both requirements for RJC Members </w:t>
      </w:r>
      <w:r>
        <w:rPr>
          <w:rFonts w:asciiTheme="minorHAnsi" w:hAnsiTheme="minorHAnsi" w:cs="Arial"/>
          <w:sz w:val="20"/>
          <w:szCs w:val="20"/>
        </w:rPr>
        <w:t>in the Mining Sector</w:t>
      </w:r>
      <w:r w:rsidRPr="003A2A5D">
        <w:rPr>
          <w:rFonts w:asciiTheme="minorHAnsi" w:hAnsiTheme="minorHAnsi" w:cs="Arial"/>
          <w:sz w:val="20"/>
          <w:szCs w:val="20"/>
        </w:rPr>
        <w:t>.</w:t>
      </w:r>
    </w:p>
    <w:p w:rsidR="003A2A5D" w:rsidRPr="003A2A5D" w:rsidRDefault="003A2A5D" w:rsidP="003A2A5D">
      <w:pPr>
        <w:rPr>
          <w:rFonts w:asciiTheme="minorHAnsi" w:hAnsiTheme="minorHAnsi" w:cs="Arial"/>
          <w:sz w:val="20"/>
          <w:szCs w:val="20"/>
        </w:rPr>
      </w:pPr>
    </w:p>
    <w:p w:rsidR="003A2A5D" w:rsidRPr="003A2A5D" w:rsidRDefault="003A2A5D" w:rsidP="003A2A5D">
      <w:pPr>
        <w:rPr>
          <w:rFonts w:asciiTheme="minorHAnsi" w:hAnsiTheme="minorHAnsi" w:cs="Arial"/>
          <w:sz w:val="20"/>
          <w:szCs w:val="20"/>
        </w:rPr>
      </w:pPr>
      <w:r w:rsidRPr="003A2A5D">
        <w:rPr>
          <w:rFonts w:asciiTheme="minorHAnsi" w:hAnsiTheme="minorHAnsi" w:cs="Arial"/>
          <w:sz w:val="20"/>
          <w:szCs w:val="20"/>
        </w:rPr>
        <w:t>Beyond compliance, companies should be aware of their ability to create or exacerbate conflict and develop mitigation measures to avoid or minimise negative impacts. Through improved conflict risk and impact assessment, stakeholder engagement and relationship building processes, conflict-sensitive business practices help companies to identify conflict issues directly or indirectly impacted by a project.  This informs the design of mitigating strategies to alleviate them and contribute to peace, in partnership with others, through core business, social investment or policy dialogue activities.</w:t>
      </w:r>
    </w:p>
    <w:p w:rsidR="00A27A5F" w:rsidRPr="001F391B" w:rsidRDefault="00A27A5F" w:rsidP="00A27A5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A27A5F" w:rsidRPr="001F391B" w:rsidTr="00040DB8">
        <w:tc>
          <w:tcPr>
            <w:tcW w:w="8522" w:type="dxa"/>
            <w:shd w:val="clear" w:color="auto" w:fill="CCC0D9" w:themeFill="accent4" w:themeFillTint="66"/>
          </w:tcPr>
          <w:p w:rsidR="00A27A5F" w:rsidRPr="001F391B" w:rsidRDefault="00A27A5F" w:rsidP="001D4DFF">
            <w:pPr>
              <w:numPr>
                <w:ilvl w:val="0"/>
                <w:numId w:val="1"/>
              </w:numPr>
              <w:rPr>
                <w:rFonts w:asciiTheme="minorHAnsi" w:hAnsiTheme="minorHAnsi" w:cs="Arial"/>
                <w:b/>
              </w:rPr>
            </w:pPr>
            <w:r w:rsidRPr="001F391B">
              <w:rPr>
                <w:rFonts w:asciiTheme="minorHAnsi" w:hAnsiTheme="minorHAnsi" w:cs="Arial"/>
                <w:b/>
              </w:rPr>
              <w:t xml:space="preserve">Key </w:t>
            </w:r>
            <w:r w:rsidR="001D4DFF">
              <w:rPr>
                <w:rFonts w:asciiTheme="minorHAnsi" w:hAnsiTheme="minorHAnsi" w:cs="Arial"/>
                <w:b/>
              </w:rPr>
              <w:t>initiatives</w:t>
            </w:r>
          </w:p>
        </w:tc>
      </w:tr>
    </w:tbl>
    <w:p w:rsidR="000A1479" w:rsidRDefault="000A1479" w:rsidP="00A27A5F">
      <w:pPr>
        <w:rPr>
          <w:rFonts w:asciiTheme="minorHAnsi" w:hAnsiTheme="minorHAnsi"/>
        </w:rPr>
      </w:pPr>
    </w:p>
    <w:p w:rsidR="001D4DFF" w:rsidRPr="0035675B" w:rsidRDefault="001D4DFF" w:rsidP="00A27A5F">
      <w:pPr>
        <w:rPr>
          <w:rFonts w:asciiTheme="minorHAnsi" w:hAnsiTheme="minorHAnsi" w:cs="Arial"/>
          <w:b/>
          <w:i/>
          <w:sz w:val="20"/>
          <w:szCs w:val="20"/>
        </w:rPr>
      </w:pPr>
      <w:r w:rsidRPr="0035675B">
        <w:rPr>
          <w:rFonts w:asciiTheme="minorHAnsi" w:hAnsiTheme="minorHAnsi" w:cs="Arial"/>
          <w:b/>
          <w:i/>
          <w:sz w:val="20"/>
          <w:szCs w:val="20"/>
        </w:rPr>
        <w:t>International Initiatives</w:t>
      </w:r>
    </w:p>
    <w:p w:rsidR="001D4DFF" w:rsidRDefault="001D4DFF" w:rsidP="001D4DFF">
      <w:pPr>
        <w:pStyle w:val="ListParagraph"/>
        <w:ind w:left="0"/>
        <w:rPr>
          <w:rFonts w:asciiTheme="minorHAnsi" w:hAnsiTheme="minorHAnsi" w:cs="Arial"/>
          <w:sz w:val="20"/>
          <w:szCs w:val="20"/>
          <w:lang w:val="en-US"/>
        </w:rPr>
      </w:pPr>
      <w:r w:rsidRPr="007020D6">
        <w:rPr>
          <w:rFonts w:asciiTheme="minorHAnsi" w:hAnsiTheme="minorHAnsi" w:cs="Arial"/>
          <w:sz w:val="20"/>
          <w:szCs w:val="20"/>
          <w:lang w:val="en-US"/>
        </w:rPr>
        <w:t xml:space="preserve">The RJC Chain-of-Custody (CoC) Standard provides more guidance on carrying out conflict-sensitive due diligence in the jewellery supply chain and </w:t>
      </w:r>
      <w:r>
        <w:rPr>
          <w:rFonts w:asciiTheme="minorHAnsi" w:hAnsiTheme="minorHAnsi" w:cs="Arial"/>
          <w:sz w:val="20"/>
          <w:szCs w:val="20"/>
          <w:lang w:val="en-US"/>
        </w:rPr>
        <w:t xml:space="preserve">the CoC Guidance </w:t>
      </w:r>
      <w:r w:rsidRPr="007020D6">
        <w:rPr>
          <w:rFonts w:asciiTheme="minorHAnsi" w:hAnsiTheme="minorHAnsi" w:cs="Arial"/>
          <w:sz w:val="20"/>
          <w:szCs w:val="20"/>
          <w:lang w:val="en-US"/>
        </w:rPr>
        <w:t xml:space="preserve">can be used as a </w:t>
      </w:r>
      <w:r>
        <w:rPr>
          <w:rFonts w:asciiTheme="minorHAnsi" w:hAnsiTheme="minorHAnsi" w:cs="Arial"/>
          <w:sz w:val="20"/>
          <w:szCs w:val="20"/>
          <w:lang w:val="en-US"/>
        </w:rPr>
        <w:t xml:space="preserve">general </w:t>
      </w:r>
      <w:r w:rsidRPr="007020D6">
        <w:rPr>
          <w:rFonts w:asciiTheme="minorHAnsi" w:hAnsiTheme="minorHAnsi" w:cs="Arial"/>
          <w:sz w:val="20"/>
          <w:szCs w:val="20"/>
          <w:lang w:val="en-US"/>
        </w:rPr>
        <w:t>reference to support conformance with this provision.  Certification against the RJC CoC Standard</w:t>
      </w:r>
      <w:r>
        <w:rPr>
          <w:rFonts w:asciiTheme="minorHAnsi" w:hAnsiTheme="minorHAnsi" w:cs="Arial"/>
          <w:sz w:val="20"/>
          <w:szCs w:val="20"/>
          <w:lang w:val="en-US"/>
        </w:rPr>
        <w:t>, or similar conflict-sensitive due diligence initiatives,</w:t>
      </w:r>
      <w:r w:rsidRPr="007020D6">
        <w:rPr>
          <w:rFonts w:asciiTheme="minorHAnsi" w:hAnsiTheme="minorHAnsi" w:cs="Arial"/>
          <w:sz w:val="20"/>
          <w:szCs w:val="20"/>
          <w:lang w:val="en-US"/>
        </w:rPr>
        <w:t xml:space="preserve"> </w:t>
      </w:r>
      <w:r>
        <w:rPr>
          <w:rFonts w:asciiTheme="minorHAnsi" w:hAnsiTheme="minorHAnsi" w:cs="Arial"/>
          <w:sz w:val="20"/>
          <w:szCs w:val="20"/>
          <w:lang w:val="en-US"/>
        </w:rPr>
        <w:t>would provide</w:t>
      </w:r>
      <w:r w:rsidRPr="007020D6">
        <w:rPr>
          <w:rFonts w:asciiTheme="minorHAnsi" w:hAnsiTheme="minorHAnsi" w:cs="Arial"/>
          <w:sz w:val="20"/>
          <w:szCs w:val="20"/>
          <w:lang w:val="en-US"/>
        </w:rPr>
        <w:t xml:space="preserve"> the objective evidenc</w:t>
      </w:r>
      <w:r>
        <w:rPr>
          <w:rFonts w:asciiTheme="minorHAnsi" w:hAnsiTheme="minorHAnsi" w:cs="Arial"/>
          <w:sz w:val="20"/>
          <w:szCs w:val="20"/>
          <w:lang w:val="en-US"/>
        </w:rPr>
        <w:t>e for conformance with COP 7</w:t>
      </w:r>
      <w:r w:rsidRPr="007020D6">
        <w:rPr>
          <w:rFonts w:asciiTheme="minorHAnsi" w:hAnsiTheme="minorHAnsi" w:cs="Arial"/>
          <w:sz w:val="20"/>
          <w:szCs w:val="20"/>
          <w:lang w:val="en-US"/>
        </w:rPr>
        <w:t xml:space="preserve">.  </w:t>
      </w:r>
    </w:p>
    <w:p w:rsidR="001D4DFF" w:rsidRDefault="001D4DFF" w:rsidP="001D4DFF">
      <w:pPr>
        <w:pStyle w:val="ListParagraph"/>
        <w:ind w:left="0"/>
        <w:rPr>
          <w:rFonts w:asciiTheme="minorHAnsi" w:hAnsiTheme="minorHAnsi" w:cs="Arial"/>
          <w:sz w:val="20"/>
          <w:szCs w:val="20"/>
          <w:lang w:val="en-US"/>
        </w:rPr>
      </w:pPr>
    </w:p>
    <w:p w:rsidR="001D4DFF" w:rsidRDefault="001D4DFF" w:rsidP="001D4DFF">
      <w:pPr>
        <w:pStyle w:val="ListParagraph"/>
        <w:ind w:left="0"/>
        <w:rPr>
          <w:rFonts w:asciiTheme="minorHAnsi" w:hAnsiTheme="minorHAnsi" w:cs="Arial"/>
          <w:sz w:val="20"/>
          <w:szCs w:val="20"/>
          <w:lang w:val="en-US"/>
        </w:rPr>
      </w:pPr>
      <w:r w:rsidRPr="007020D6">
        <w:rPr>
          <w:rFonts w:asciiTheme="minorHAnsi" w:hAnsiTheme="minorHAnsi" w:cs="Arial"/>
          <w:sz w:val="20"/>
          <w:szCs w:val="20"/>
          <w:lang w:val="en-US"/>
        </w:rPr>
        <w:t xml:space="preserve">Other relevant standards available as a reference and/or assurance tool include: </w:t>
      </w:r>
    </w:p>
    <w:p w:rsidR="001D4DFF" w:rsidRDefault="001D4DFF" w:rsidP="001D4DFF">
      <w:pPr>
        <w:numPr>
          <w:ilvl w:val="1"/>
          <w:numId w:val="12"/>
        </w:numPr>
        <w:rPr>
          <w:rFonts w:asciiTheme="minorHAnsi" w:hAnsiTheme="minorHAnsi" w:cs="Arial"/>
          <w:sz w:val="20"/>
          <w:szCs w:val="20"/>
          <w:lang w:val="en-US"/>
        </w:rPr>
      </w:pPr>
      <w:r w:rsidRPr="007020D6">
        <w:rPr>
          <w:rFonts w:asciiTheme="minorHAnsi" w:hAnsiTheme="minorHAnsi" w:cs="Arial"/>
          <w:sz w:val="20"/>
          <w:szCs w:val="20"/>
          <w:lang w:val="en-US"/>
        </w:rPr>
        <w:t>World Gold Council Conflict-Free Gold Standard:  provides guidance on operating gold mines in conflict-affected areas.  Independent assurance against this standard provides objective evidence for confo</w:t>
      </w:r>
      <w:r>
        <w:rPr>
          <w:rFonts w:asciiTheme="minorHAnsi" w:hAnsiTheme="minorHAnsi" w:cs="Arial"/>
          <w:sz w:val="20"/>
          <w:szCs w:val="20"/>
          <w:lang w:val="en-US"/>
        </w:rPr>
        <w:t>rmance with COP 7</w:t>
      </w:r>
      <w:r w:rsidRPr="007020D6">
        <w:rPr>
          <w:rFonts w:asciiTheme="minorHAnsi" w:hAnsiTheme="minorHAnsi" w:cs="Arial"/>
          <w:sz w:val="20"/>
          <w:szCs w:val="20"/>
          <w:lang w:val="en-US"/>
        </w:rPr>
        <w:t>.</w:t>
      </w:r>
    </w:p>
    <w:p w:rsidR="001D4DFF" w:rsidRDefault="001D4DFF" w:rsidP="001D4DFF">
      <w:pPr>
        <w:numPr>
          <w:ilvl w:val="1"/>
          <w:numId w:val="12"/>
        </w:numPr>
        <w:rPr>
          <w:rFonts w:asciiTheme="minorHAnsi" w:hAnsiTheme="minorHAnsi" w:cs="Arial"/>
          <w:sz w:val="20"/>
          <w:szCs w:val="20"/>
          <w:lang w:val="en-US"/>
        </w:rPr>
      </w:pPr>
      <w:r w:rsidRPr="007020D6">
        <w:rPr>
          <w:rFonts w:asciiTheme="minorHAnsi" w:hAnsiTheme="minorHAnsi" w:cs="Arial"/>
          <w:sz w:val="20"/>
          <w:szCs w:val="20"/>
          <w:lang w:val="en-US"/>
        </w:rPr>
        <w:lastRenderedPageBreak/>
        <w:t>London Bullion Market Association Responsible Gold Guidance:  provides guidance to gold refiners on due diligence for responsible supply chains.  Independent assurance against this standard provides objective evidence for conformance</w:t>
      </w:r>
      <w:r>
        <w:rPr>
          <w:rFonts w:asciiTheme="minorHAnsi" w:hAnsiTheme="minorHAnsi" w:cs="Arial"/>
          <w:sz w:val="20"/>
          <w:szCs w:val="20"/>
          <w:lang w:val="en-US"/>
        </w:rPr>
        <w:t xml:space="preserve"> with COP 7</w:t>
      </w:r>
      <w:r w:rsidRPr="007020D6">
        <w:rPr>
          <w:rFonts w:asciiTheme="minorHAnsi" w:hAnsiTheme="minorHAnsi" w:cs="Arial"/>
          <w:sz w:val="20"/>
          <w:szCs w:val="20"/>
          <w:lang w:val="en-US"/>
        </w:rPr>
        <w:t>.</w:t>
      </w:r>
    </w:p>
    <w:p w:rsidR="001D4DFF" w:rsidRDefault="001D4DFF" w:rsidP="001D4DFF">
      <w:pPr>
        <w:numPr>
          <w:ilvl w:val="1"/>
          <w:numId w:val="12"/>
        </w:numPr>
        <w:rPr>
          <w:rFonts w:asciiTheme="minorHAnsi" w:hAnsiTheme="minorHAnsi" w:cs="Arial"/>
          <w:sz w:val="20"/>
          <w:szCs w:val="20"/>
          <w:lang w:val="en-US"/>
        </w:rPr>
      </w:pPr>
      <w:r w:rsidRPr="007020D6">
        <w:rPr>
          <w:rFonts w:asciiTheme="minorHAnsi" w:hAnsiTheme="minorHAnsi" w:cs="Arial"/>
          <w:sz w:val="20"/>
          <w:szCs w:val="20"/>
          <w:lang w:val="en-US"/>
        </w:rPr>
        <w:t xml:space="preserve">Conflict-Free Smelter program (EICC-GeSI):  provides guidance to gold refiners on due diligence relevant to Section 1502 of the Dodd-Frank Act (USA).  Inclusion on the Conflict-Free Smelter list provides objective evidence for conformance </w:t>
      </w:r>
      <w:r>
        <w:rPr>
          <w:rFonts w:asciiTheme="minorHAnsi" w:hAnsiTheme="minorHAnsi" w:cs="Arial"/>
          <w:sz w:val="20"/>
          <w:szCs w:val="20"/>
          <w:lang w:val="en-US"/>
        </w:rPr>
        <w:t>with COP 7</w:t>
      </w:r>
      <w:r w:rsidRPr="007020D6">
        <w:rPr>
          <w:rFonts w:asciiTheme="minorHAnsi" w:hAnsiTheme="minorHAnsi" w:cs="Arial"/>
          <w:sz w:val="20"/>
          <w:szCs w:val="20"/>
          <w:lang w:val="en-US"/>
        </w:rPr>
        <w:t>.</w:t>
      </w:r>
    </w:p>
    <w:p w:rsidR="001D4DFF" w:rsidRDefault="001D4DFF" w:rsidP="001D4DFF">
      <w:pPr>
        <w:numPr>
          <w:ilvl w:val="1"/>
          <w:numId w:val="12"/>
        </w:numPr>
        <w:rPr>
          <w:rFonts w:asciiTheme="minorHAnsi" w:hAnsiTheme="minorHAnsi" w:cs="Arial"/>
          <w:sz w:val="20"/>
          <w:szCs w:val="20"/>
          <w:lang w:val="en-US"/>
        </w:rPr>
      </w:pPr>
      <w:r w:rsidRPr="007020D6">
        <w:rPr>
          <w:rFonts w:asciiTheme="minorHAnsi" w:hAnsiTheme="minorHAnsi" w:cs="Arial"/>
          <w:sz w:val="20"/>
          <w:szCs w:val="20"/>
          <w:lang w:val="en-US"/>
        </w:rPr>
        <w:t xml:space="preserve">OECD Due Diligence Guidance for Responsible Supply Chains of Minerals from Conflict-Affected and High-Risk Areas: includes a Supplement on Gold which provides recommendations for the gold supply chain.  </w:t>
      </w:r>
    </w:p>
    <w:p w:rsidR="001D4DFF" w:rsidRPr="000A1479" w:rsidRDefault="001D4DFF" w:rsidP="001D4DFF">
      <w:pPr>
        <w:numPr>
          <w:ilvl w:val="1"/>
          <w:numId w:val="12"/>
        </w:numPr>
        <w:rPr>
          <w:rFonts w:asciiTheme="minorHAnsi" w:hAnsiTheme="minorHAnsi" w:cs="Arial"/>
          <w:sz w:val="20"/>
          <w:szCs w:val="20"/>
          <w:lang w:val="en-US"/>
        </w:rPr>
      </w:pPr>
      <w:r w:rsidRPr="000A1479">
        <w:rPr>
          <w:rFonts w:asciiTheme="minorHAnsi" w:hAnsiTheme="minorHAnsi"/>
          <w:sz w:val="20"/>
          <w:szCs w:val="20"/>
        </w:rPr>
        <w:t xml:space="preserve">International Alert - </w:t>
      </w:r>
      <w:r w:rsidRPr="000A1479">
        <w:rPr>
          <w:rFonts w:asciiTheme="minorHAnsi" w:eastAsiaTheme="minorHAnsi" w:hAnsiTheme="minorHAnsi"/>
          <w:sz w:val="20"/>
          <w:szCs w:val="20"/>
          <w:lang w:val="en-US" w:eastAsia="en-US"/>
        </w:rPr>
        <w:t xml:space="preserve">Conflict-Sensitive Business Practice Guidance for Extractive Industries: </w:t>
      </w:r>
      <w:r w:rsidRPr="000A1479">
        <w:rPr>
          <w:rFonts w:asciiTheme="minorHAnsi" w:eastAsiaTheme="minorHAnsi" w:hAnsiTheme="minorHAnsi" w:cs="DIN-Regular"/>
          <w:sz w:val="20"/>
          <w:szCs w:val="20"/>
          <w:lang w:val="en-US" w:eastAsia="en-US"/>
        </w:rPr>
        <w:t xml:space="preserve">a generic guidance tool help ensure business operations are conflict-sensitive. </w:t>
      </w:r>
    </w:p>
    <w:p w:rsidR="001D4DFF" w:rsidRPr="0035675B" w:rsidRDefault="001D4DFF" w:rsidP="0035675B">
      <w:pPr>
        <w:pStyle w:val="ListParagraph"/>
        <w:ind w:left="0"/>
        <w:rPr>
          <w:rFonts w:asciiTheme="minorHAnsi" w:hAnsiTheme="minorHAnsi" w:cs="Arial"/>
          <w:sz w:val="20"/>
          <w:szCs w:val="20"/>
          <w:lang w:val="en-US"/>
        </w:rPr>
      </w:pPr>
    </w:p>
    <w:p w:rsidR="003870EE" w:rsidRPr="001F391B" w:rsidRDefault="0035675B" w:rsidP="00A27A5F">
      <w:pPr>
        <w:rPr>
          <w:rFonts w:asciiTheme="minorHAnsi" w:hAnsiTheme="minorHAnsi"/>
        </w:rPr>
      </w:pPr>
      <w:r>
        <w:rPr>
          <w:rFonts w:asciiTheme="minorHAnsi" w:hAnsiTheme="minorHAnsi"/>
          <w:sz w:val="20"/>
          <w:szCs w:val="20"/>
        </w:rPr>
        <w:t>Also s</w:t>
      </w:r>
      <w:r w:rsidR="000A1479" w:rsidRPr="000A1479">
        <w:rPr>
          <w:rFonts w:asciiTheme="minorHAnsi" w:hAnsiTheme="minorHAnsi"/>
          <w:sz w:val="20"/>
          <w:szCs w:val="20"/>
        </w:rPr>
        <w:t>ee t</w:t>
      </w:r>
      <w:r w:rsidR="000A1479" w:rsidRPr="000A1479">
        <w:rPr>
          <w:rFonts w:eastAsiaTheme="minorHAnsi" w:cs="DIN-Regular"/>
          <w:sz w:val="20"/>
          <w:szCs w:val="20"/>
          <w:lang w:val="en-US" w:eastAsia="en-US"/>
        </w:rPr>
        <w:t>he guidance</w:t>
      </w:r>
      <w:r w:rsidR="000A1479">
        <w:rPr>
          <w:rFonts w:eastAsiaTheme="minorHAnsi" w:cs="DIN-Regular"/>
          <w:sz w:val="20"/>
          <w:szCs w:val="20"/>
          <w:lang w:val="en-US" w:eastAsia="en-US"/>
        </w:rPr>
        <w:t xml:space="preserve"> chapter for </w:t>
      </w:r>
      <w:r w:rsidR="000A1479" w:rsidRPr="008733BA">
        <w:rPr>
          <w:rFonts w:eastAsiaTheme="minorHAnsi" w:cs="DIN-Regular"/>
          <w:b/>
          <w:color w:val="31849B" w:themeColor="accent5" w:themeShade="BF"/>
          <w:sz w:val="20"/>
          <w:szCs w:val="20"/>
          <w:lang w:val="en-US" w:eastAsia="en-US"/>
        </w:rPr>
        <w:t>Human Rights</w:t>
      </w:r>
      <w:r w:rsidR="00E17AEB" w:rsidRPr="00E17AEB">
        <w:rPr>
          <w:rFonts w:eastAsiaTheme="minorHAnsi" w:cs="DIN-Regular"/>
          <w:sz w:val="20"/>
          <w:szCs w:val="20"/>
          <w:lang w:val="en-US" w:eastAsia="en-US"/>
        </w:rPr>
        <w:t xml:space="preserve"> for information on the UN Guiding Principles for Business and Human Rights</w:t>
      </w:r>
      <w:r w:rsidRPr="00E17AEB">
        <w:rPr>
          <w:rFonts w:eastAsiaTheme="minorHAnsi" w:cs="DIN-Regular"/>
          <w:sz w:val="20"/>
          <w:szCs w:val="20"/>
          <w:lang w:val="en-US" w:eastAsia="en-US"/>
        </w:rPr>
        <w:t>.</w:t>
      </w:r>
    </w:p>
    <w:p w:rsidR="00E1474F" w:rsidRDefault="00E1474F" w:rsidP="00E1474F">
      <w:pPr>
        <w:autoSpaceDE w:val="0"/>
        <w:autoSpaceDN w:val="0"/>
        <w:adjustRightInd w:val="0"/>
        <w:rPr>
          <w:rFonts w:ascii="Arial" w:eastAsiaTheme="minorHAnsi" w:hAnsi="Arial" w:cs="Arial"/>
          <w:sz w:val="20"/>
          <w:szCs w:val="20"/>
          <w:lang w:val="en-US" w:eastAsia="en-US"/>
        </w:rPr>
      </w:pPr>
    </w:p>
    <w:p w:rsidR="004F3459" w:rsidRPr="004F3459" w:rsidRDefault="004F3459" w:rsidP="004F3459">
      <w:pPr>
        <w:rPr>
          <w:rFonts w:asciiTheme="minorHAnsi" w:hAnsiTheme="minorHAnsi" w:cs="Arial"/>
          <w:b/>
          <w:i/>
          <w:sz w:val="20"/>
          <w:szCs w:val="20"/>
        </w:rPr>
      </w:pPr>
      <w:r w:rsidRPr="007020D6">
        <w:rPr>
          <w:rFonts w:asciiTheme="minorHAnsi" w:hAnsiTheme="minorHAnsi" w:cs="Arial"/>
          <w:b/>
          <w:i/>
          <w:sz w:val="20"/>
          <w:szCs w:val="20"/>
        </w:rPr>
        <w:t>National law</w:t>
      </w:r>
    </w:p>
    <w:p w:rsidR="00E1474F" w:rsidRPr="00E1474F" w:rsidRDefault="00E1474F" w:rsidP="00E1474F">
      <w:pPr>
        <w:autoSpaceDE w:val="0"/>
        <w:autoSpaceDN w:val="0"/>
        <w:adjustRightInd w:val="0"/>
        <w:rPr>
          <w:rFonts w:asciiTheme="minorHAnsi" w:eastAsiaTheme="minorHAnsi" w:hAnsiTheme="minorHAnsi" w:cs="Arial"/>
          <w:sz w:val="20"/>
          <w:szCs w:val="20"/>
          <w:lang w:val="en-US" w:eastAsia="en-US"/>
        </w:rPr>
      </w:pPr>
      <w:r w:rsidRPr="00E1474F">
        <w:rPr>
          <w:rFonts w:asciiTheme="minorHAnsi" w:eastAsiaTheme="minorHAnsi" w:hAnsiTheme="minorHAnsi" w:cs="Arial"/>
          <w:sz w:val="20"/>
          <w:szCs w:val="20"/>
          <w:lang w:val="en-US" w:eastAsia="en-US"/>
        </w:rPr>
        <w:t xml:space="preserve">The </w:t>
      </w:r>
      <w:r w:rsidR="004F3459">
        <w:rPr>
          <w:rFonts w:asciiTheme="minorHAnsi" w:eastAsiaTheme="minorHAnsi" w:hAnsiTheme="minorHAnsi" w:cs="Arial"/>
          <w:sz w:val="20"/>
          <w:szCs w:val="20"/>
          <w:lang w:val="en-US" w:eastAsia="en-US"/>
        </w:rPr>
        <w:t xml:space="preserve">US </w:t>
      </w:r>
      <w:r w:rsidRPr="00E1474F">
        <w:rPr>
          <w:rFonts w:asciiTheme="minorHAnsi" w:eastAsiaTheme="minorHAnsi" w:hAnsiTheme="minorHAnsi" w:cs="Arial"/>
          <w:sz w:val="20"/>
          <w:szCs w:val="20"/>
          <w:lang w:val="en-US" w:eastAsia="en-US"/>
        </w:rPr>
        <w:t>Dodd</w:t>
      </w:r>
      <w:r>
        <w:rPr>
          <w:rFonts w:asciiTheme="minorHAnsi" w:eastAsiaTheme="minorHAnsi" w:hAnsiTheme="minorHAnsi" w:cs="Arial"/>
          <w:sz w:val="20"/>
          <w:szCs w:val="20"/>
          <w:lang w:val="en-US" w:eastAsia="en-US"/>
        </w:rPr>
        <w:t xml:space="preserve"> </w:t>
      </w:r>
      <w:r w:rsidRPr="00E1474F">
        <w:rPr>
          <w:rFonts w:asciiTheme="minorHAnsi" w:eastAsiaTheme="minorHAnsi" w:hAnsiTheme="minorHAnsi" w:cs="Arial"/>
          <w:sz w:val="20"/>
          <w:szCs w:val="20"/>
          <w:lang w:val="en-US" w:eastAsia="en-US"/>
        </w:rPr>
        <w:t>Frank requires SEC reporting companies to disclose annual</w:t>
      </w:r>
      <w:r>
        <w:rPr>
          <w:rFonts w:asciiTheme="minorHAnsi" w:eastAsiaTheme="minorHAnsi" w:hAnsiTheme="minorHAnsi" w:cs="Arial"/>
          <w:sz w:val="20"/>
          <w:szCs w:val="20"/>
          <w:lang w:val="en-US" w:eastAsia="en-US"/>
        </w:rPr>
        <w:t xml:space="preserve">ly whether any </w:t>
      </w:r>
      <w:r w:rsidRPr="00E1474F">
        <w:rPr>
          <w:rFonts w:asciiTheme="minorHAnsi" w:eastAsiaTheme="minorHAnsi" w:hAnsiTheme="minorHAnsi" w:cs="Arial"/>
          <w:sz w:val="20"/>
          <w:szCs w:val="20"/>
          <w:lang w:val="en-US" w:eastAsia="en-US"/>
        </w:rPr>
        <w:t>conflict mineral</w:t>
      </w:r>
      <w:r>
        <w:rPr>
          <w:rFonts w:asciiTheme="minorHAnsi" w:eastAsiaTheme="minorHAnsi" w:hAnsiTheme="minorHAnsi" w:cs="Arial"/>
          <w:sz w:val="20"/>
          <w:szCs w:val="20"/>
          <w:lang w:val="en-US" w:eastAsia="en-US"/>
        </w:rPr>
        <w:t>s</w:t>
      </w:r>
      <w:r w:rsidRPr="00E1474F">
        <w:rPr>
          <w:rFonts w:asciiTheme="minorHAnsi" w:eastAsiaTheme="minorHAnsi" w:hAnsiTheme="minorHAnsi" w:cs="Arial"/>
          <w:sz w:val="20"/>
          <w:szCs w:val="20"/>
          <w:lang w:val="en-US" w:eastAsia="en-US"/>
        </w:rPr>
        <w:t xml:space="preserve"> ‘necessary to the functionality or production of a product’ manufactured by the company </w:t>
      </w:r>
      <w:r w:rsidR="004F3459">
        <w:rPr>
          <w:rFonts w:asciiTheme="minorHAnsi" w:eastAsiaTheme="minorHAnsi" w:hAnsiTheme="minorHAnsi" w:cs="Arial"/>
          <w:sz w:val="20"/>
          <w:szCs w:val="20"/>
          <w:lang w:val="en-US" w:eastAsia="en-US"/>
        </w:rPr>
        <w:t>originate</w:t>
      </w:r>
      <w:r w:rsidRPr="00E1474F">
        <w:rPr>
          <w:rFonts w:asciiTheme="minorHAnsi" w:eastAsiaTheme="minorHAnsi" w:hAnsiTheme="minorHAnsi" w:cs="Arial"/>
          <w:sz w:val="20"/>
          <w:szCs w:val="20"/>
          <w:lang w:val="en-US" w:eastAsia="en-US"/>
        </w:rPr>
        <w:t xml:space="preserve"> in the DRC or an adjoining country. The Final Rule implementing the legislation </w:t>
      </w:r>
      <w:r>
        <w:rPr>
          <w:rFonts w:asciiTheme="minorHAnsi" w:eastAsiaTheme="minorHAnsi" w:hAnsiTheme="minorHAnsi" w:cs="Arial"/>
          <w:sz w:val="20"/>
          <w:szCs w:val="20"/>
          <w:lang w:val="en-US" w:eastAsia="en-US"/>
        </w:rPr>
        <w:t xml:space="preserve">requires companies </w:t>
      </w:r>
      <w:r w:rsidRPr="00E1474F">
        <w:rPr>
          <w:rFonts w:asciiTheme="minorHAnsi" w:eastAsiaTheme="minorHAnsi" w:hAnsiTheme="minorHAnsi" w:cs="Arial"/>
          <w:sz w:val="20"/>
          <w:szCs w:val="20"/>
          <w:lang w:val="en-US" w:eastAsia="en-US"/>
        </w:rPr>
        <w:t>to produce a ‘Conflict Minerals Report’</w:t>
      </w:r>
      <w:r>
        <w:rPr>
          <w:rFonts w:asciiTheme="minorHAnsi" w:eastAsiaTheme="minorHAnsi" w:hAnsiTheme="minorHAnsi" w:cs="Arial"/>
          <w:sz w:val="20"/>
          <w:szCs w:val="20"/>
          <w:lang w:val="en-US" w:eastAsia="en-US"/>
        </w:rPr>
        <w:t xml:space="preserve"> if they</w:t>
      </w:r>
      <w:r w:rsidRPr="00E1474F">
        <w:rPr>
          <w:rFonts w:asciiTheme="minorHAnsi" w:eastAsiaTheme="minorHAnsi" w:hAnsiTheme="minorHAnsi" w:cs="Arial"/>
          <w:sz w:val="20"/>
          <w:szCs w:val="20"/>
          <w:lang w:val="en-US" w:eastAsia="en-US"/>
        </w:rPr>
        <w:t xml:space="preserve"> have reason to believe </w:t>
      </w:r>
      <w:r>
        <w:rPr>
          <w:rFonts w:asciiTheme="minorHAnsi" w:eastAsiaTheme="minorHAnsi" w:hAnsiTheme="minorHAnsi" w:cs="Arial"/>
          <w:sz w:val="20"/>
          <w:szCs w:val="20"/>
          <w:lang w:val="en-US" w:eastAsia="en-US"/>
        </w:rPr>
        <w:t>that the minerals they use</w:t>
      </w:r>
      <w:r w:rsidRPr="00E1474F">
        <w:rPr>
          <w:rFonts w:asciiTheme="minorHAnsi" w:eastAsiaTheme="minorHAnsi" w:hAnsiTheme="minorHAnsi" w:cs="Arial"/>
          <w:sz w:val="20"/>
          <w:szCs w:val="20"/>
          <w:lang w:val="en-US" w:eastAsia="en-US"/>
        </w:rPr>
        <w:t xml:space="preserve"> may</w:t>
      </w:r>
      <w:r w:rsidR="004F3459">
        <w:rPr>
          <w:rFonts w:asciiTheme="minorHAnsi" w:eastAsiaTheme="minorHAnsi" w:hAnsiTheme="minorHAnsi" w:cs="Arial"/>
          <w:sz w:val="20"/>
          <w:szCs w:val="20"/>
          <w:lang w:val="en-US" w:eastAsia="en-US"/>
        </w:rPr>
        <w:t xml:space="preserve"> have originated in the region.  The report must </w:t>
      </w:r>
      <w:r w:rsidRPr="00E1474F">
        <w:rPr>
          <w:rFonts w:asciiTheme="minorHAnsi" w:eastAsiaTheme="minorHAnsi" w:hAnsiTheme="minorHAnsi" w:cs="Arial"/>
          <w:sz w:val="20"/>
          <w:szCs w:val="20"/>
          <w:lang w:val="en-US" w:eastAsia="en-US"/>
        </w:rPr>
        <w:t xml:space="preserve">contain a description of the due diligence efforts taken to determine the source and chain of </w:t>
      </w:r>
      <w:r w:rsidR="004F3459">
        <w:rPr>
          <w:rFonts w:asciiTheme="minorHAnsi" w:eastAsiaTheme="minorHAnsi" w:hAnsiTheme="minorHAnsi" w:cs="Arial"/>
          <w:sz w:val="20"/>
          <w:szCs w:val="20"/>
          <w:lang w:val="en-US" w:eastAsia="en-US"/>
        </w:rPr>
        <w:t>custody of the conflict</w:t>
      </w:r>
      <w:r w:rsidRPr="00E1474F">
        <w:rPr>
          <w:rFonts w:asciiTheme="minorHAnsi" w:eastAsiaTheme="minorHAnsi" w:hAnsiTheme="minorHAnsi" w:cs="Arial"/>
          <w:sz w:val="20"/>
          <w:szCs w:val="20"/>
          <w:lang w:val="en-US" w:eastAsia="en-US"/>
        </w:rPr>
        <w:t xml:space="preserve"> minerals and conform to a recognized due diligenc</w:t>
      </w:r>
      <w:r w:rsidR="004F3459">
        <w:rPr>
          <w:rFonts w:asciiTheme="minorHAnsi" w:eastAsiaTheme="minorHAnsi" w:hAnsiTheme="minorHAnsi" w:cs="Arial"/>
          <w:sz w:val="20"/>
          <w:szCs w:val="20"/>
          <w:lang w:val="en-US" w:eastAsia="en-US"/>
        </w:rPr>
        <w:t>e framework, such as the OECD</w:t>
      </w:r>
      <w:r w:rsidR="004F3459" w:rsidRPr="004F3459">
        <w:rPr>
          <w:rFonts w:asciiTheme="minorHAnsi" w:hAnsiTheme="minorHAnsi" w:cs="Arial"/>
          <w:sz w:val="20"/>
          <w:szCs w:val="20"/>
          <w:lang w:val="en-US"/>
        </w:rPr>
        <w:t xml:space="preserve"> </w:t>
      </w:r>
      <w:r w:rsidR="004F3459" w:rsidRPr="007020D6">
        <w:rPr>
          <w:rFonts w:asciiTheme="minorHAnsi" w:hAnsiTheme="minorHAnsi" w:cs="Arial"/>
          <w:sz w:val="20"/>
          <w:szCs w:val="20"/>
          <w:lang w:val="en-US"/>
        </w:rPr>
        <w:t>Due Diligence</w:t>
      </w:r>
      <w:r w:rsidRPr="00E1474F">
        <w:rPr>
          <w:rFonts w:asciiTheme="minorHAnsi" w:eastAsiaTheme="minorHAnsi" w:hAnsiTheme="minorHAnsi" w:cs="Arial"/>
          <w:sz w:val="20"/>
          <w:szCs w:val="20"/>
          <w:lang w:val="en-US" w:eastAsia="en-US"/>
        </w:rPr>
        <w:t xml:space="preserve"> Guidance.</w:t>
      </w:r>
    </w:p>
    <w:p w:rsidR="00A27A5F" w:rsidRPr="001F391B" w:rsidRDefault="00A27A5F" w:rsidP="00A27A5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A27A5F" w:rsidRPr="001F391B" w:rsidTr="00040DB8">
        <w:tc>
          <w:tcPr>
            <w:tcW w:w="8522" w:type="dxa"/>
            <w:shd w:val="clear" w:color="auto" w:fill="CCC0D9" w:themeFill="accent4" w:themeFillTint="66"/>
          </w:tcPr>
          <w:p w:rsidR="00A27A5F" w:rsidRPr="001F391B" w:rsidRDefault="00A27A5F" w:rsidP="00040DB8">
            <w:pPr>
              <w:numPr>
                <w:ilvl w:val="0"/>
                <w:numId w:val="1"/>
              </w:numPr>
              <w:rPr>
                <w:rFonts w:asciiTheme="minorHAnsi" w:hAnsiTheme="minorHAnsi" w:cs="Arial"/>
                <w:b/>
              </w:rPr>
            </w:pPr>
            <w:r w:rsidRPr="001F391B">
              <w:rPr>
                <w:rFonts w:asciiTheme="minorHAnsi" w:hAnsiTheme="minorHAnsi" w:cs="Arial"/>
                <w:b/>
              </w:rPr>
              <w:t>Suggested implementation approach</w:t>
            </w:r>
          </w:p>
        </w:tc>
      </w:tr>
    </w:tbl>
    <w:p w:rsidR="00A27A5F" w:rsidRPr="001F391B" w:rsidRDefault="00A27A5F" w:rsidP="00A27A5F">
      <w:pPr>
        <w:rPr>
          <w:rFonts w:asciiTheme="minorHAnsi" w:hAnsiTheme="minorHAnsi"/>
        </w:rPr>
      </w:pPr>
    </w:p>
    <w:p w:rsidR="00654911" w:rsidRPr="00477921" w:rsidRDefault="00654911" w:rsidP="00654911">
      <w:pPr>
        <w:numPr>
          <w:ilvl w:val="0"/>
          <w:numId w:val="12"/>
        </w:numPr>
        <w:rPr>
          <w:rFonts w:asciiTheme="minorHAnsi" w:hAnsiTheme="minorHAnsi" w:cs="Arial"/>
          <w:i/>
          <w:iCs/>
          <w:sz w:val="20"/>
          <w:szCs w:val="20"/>
          <w:lang w:val="en-AU"/>
        </w:rPr>
      </w:pPr>
      <w:r>
        <w:rPr>
          <w:rFonts w:asciiTheme="minorHAnsi" w:hAnsiTheme="minorHAnsi"/>
          <w:b/>
          <w:i/>
          <w:sz w:val="20"/>
          <w:szCs w:val="20"/>
        </w:rPr>
        <w:t>COP 6.2</w:t>
      </w:r>
      <w:r w:rsidR="00831046">
        <w:rPr>
          <w:rFonts w:asciiTheme="minorHAnsi" w:hAnsiTheme="minorHAnsi"/>
          <w:b/>
          <w:i/>
          <w:sz w:val="20"/>
          <w:szCs w:val="20"/>
        </w:rPr>
        <w:t>:</w:t>
      </w:r>
      <w:r w:rsidR="000A1479" w:rsidRPr="004B632D">
        <w:rPr>
          <w:rFonts w:asciiTheme="minorHAnsi" w:hAnsiTheme="minorHAnsi"/>
          <w:b/>
          <w:i/>
          <w:sz w:val="20"/>
          <w:szCs w:val="20"/>
        </w:rPr>
        <w:t xml:space="preserve"> Conflict-Affected Areas</w:t>
      </w:r>
      <w:r w:rsidR="00291EB2">
        <w:rPr>
          <w:rFonts w:asciiTheme="minorHAnsi" w:hAnsiTheme="minorHAnsi"/>
          <w:b/>
          <w:sz w:val="20"/>
          <w:szCs w:val="20"/>
        </w:rPr>
        <w:t>:</w:t>
      </w:r>
      <w:r w:rsidR="000A1479" w:rsidRPr="000A1479">
        <w:rPr>
          <w:rFonts w:asciiTheme="minorHAnsi" w:hAnsiTheme="minorHAnsi"/>
          <w:sz w:val="20"/>
          <w:szCs w:val="20"/>
        </w:rPr>
        <w:t xml:space="preserve">  </w:t>
      </w:r>
      <w:r w:rsidRPr="00477921">
        <w:rPr>
          <w:rFonts w:asciiTheme="minorHAnsi" w:hAnsiTheme="minorHAnsi" w:cs="Arial"/>
          <w:i/>
          <w:iCs/>
          <w:sz w:val="20"/>
          <w:szCs w:val="20"/>
          <w:lang w:val="en-AU"/>
        </w:rPr>
        <w:t xml:space="preserve">Members, if operating in, or sourcing Diamonds, Gold or Platinum Group Metals directly from, a Conflict-Affected Area, shall use the Human Rights due diligence process to assess the heightened Risks of adverse Human Rights impacts.           </w:t>
      </w:r>
    </w:p>
    <w:p w:rsidR="00654911" w:rsidRPr="00477921" w:rsidRDefault="00654911" w:rsidP="00654911">
      <w:pPr>
        <w:ind w:left="360"/>
        <w:rPr>
          <w:rFonts w:asciiTheme="minorHAnsi" w:hAnsiTheme="minorHAnsi" w:cs="Arial"/>
          <w:i/>
          <w:iCs/>
          <w:sz w:val="20"/>
          <w:szCs w:val="20"/>
          <w:lang w:val="en-AU"/>
        </w:rPr>
      </w:pPr>
      <w:r>
        <w:rPr>
          <w:rFonts w:asciiTheme="minorHAnsi" w:hAnsiTheme="minorHAnsi" w:cs="Arial"/>
          <w:i/>
          <w:iCs/>
          <w:sz w:val="20"/>
          <w:szCs w:val="20"/>
          <w:lang w:val="en-AU"/>
        </w:rPr>
        <w:t xml:space="preserve">d) </w:t>
      </w:r>
      <w:r w:rsidRPr="00477921">
        <w:rPr>
          <w:rFonts w:asciiTheme="minorHAnsi" w:hAnsiTheme="minorHAnsi" w:cs="Arial"/>
          <w:i/>
          <w:iCs/>
          <w:sz w:val="20"/>
          <w:szCs w:val="20"/>
          <w:lang w:val="en-AU"/>
        </w:rPr>
        <w:t>Review the heightened Risks of adverse Human Rights impacts.</w:t>
      </w:r>
    </w:p>
    <w:p w:rsidR="00654911" w:rsidRDefault="00654911" w:rsidP="00654911">
      <w:pPr>
        <w:ind w:left="360"/>
        <w:rPr>
          <w:rFonts w:asciiTheme="minorHAnsi" w:hAnsiTheme="minorHAnsi" w:cs="Arial"/>
          <w:i/>
          <w:iCs/>
          <w:sz w:val="20"/>
          <w:szCs w:val="20"/>
          <w:lang w:val="en-AU"/>
        </w:rPr>
      </w:pPr>
      <w:r>
        <w:rPr>
          <w:rFonts w:asciiTheme="minorHAnsi" w:hAnsiTheme="minorHAnsi" w:cs="Arial"/>
          <w:i/>
          <w:iCs/>
          <w:sz w:val="20"/>
          <w:szCs w:val="20"/>
          <w:lang w:val="en-AU"/>
        </w:rPr>
        <w:t xml:space="preserve">e) </w:t>
      </w:r>
      <w:r w:rsidRPr="00477921">
        <w:rPr>
          <w:rFonts w:asciiTheme="minorHAnsi" w:hAnsiTheme="minorHAnsi" w:cs="Arial"/>
          <w:i/>
          <w:iCs/>
          <w:sz w:val="20"/>
          <w:szCs w:val="20"/>
          <w:lang w:val="en-AU"/>
        </w:rPr>
        <w:t xml:space="preserve">Where Risks are identified, Members shall implement systems to manage and mitigate risks of causing or contributing to Conflict and adverse Human Rights impacts. </w:t>
      </w:r>
    </w:p>
    <w:p w:rsidR="005A24D1" w:rsidRPr="00654911" w:rsidRDefault="00654911" w:rsidP="00654911">
      <w:pPr>
        <w:pStyle w:val="ListParagraph"/>
        <w:ind w:left="360"/>
        <w:contextualSpacing/>
        <w:rPr>
          <w:rFonts w:asciiTheme="minorHAnsi" w:hAnsiTheme="minorHAnsi"/>
          <w:b/>
          <w:bCs/>
          <w:sz w:val="20"/>
          <w:szCs w:val="20"/>
        </w:rPr>
      </w:pPr>
      <w:r>
        <w:rPr>
          <w:rFonts w:asciiTheme="minorHAnsi" w:hAnsiTheme="minorHAnsi"/>
          <w:b/>
          <w:bCs/>
          <w:sz w:val="20"/>
          <w:szCs w:val="20"/>
        </w:rPr>
        <w:t>Points to consider:</w:t>
      </w:r>
    </w:p>
    <w:p w:rsidR="00D5555B" w:rsidRDefault="005A24D1" w:rsidP="004B632D">
      <w:pPr>
        <w:pStyle w:val="ListParagraph"/>
        <w:numPr>
          <w:ilvl w:val="0"/>
          <w:numId w:val="10"/>
        </w:numPr>
        <w:ind w:left="360"/>
        <w:contextualSpacing/>
        <w:rPr>
          <w:rFonts w:asciiTheme="minorHAnsi" w:hAnsiTheme="minorHAnsi"/>
          <w:sz w:val="20"/>
          <w:szCs w:val="20"/>
        </w:rPr>
      </w:pPr>
      <w:r w:rsidRPr="005A24D1">
        <w:rPr>
          <w:rFonts w:asciiTheme="minorHAnsi" w:hAnsiTheme="minorHAnsi"/>
          <w:sz w:val="20"/>
          <w:szCs w:val="20"/>
        </w:rPr>
        <w:t xml:space="preserve">Identifying whether this provision applies involves </w:t>
      </w:r>
      <w:r>
        <w:rPr>
          <w:rFonts w:asciiTheme="minorHAnsi" w:hAnsiTheme="minorHAnsi"/>
          <w:sz w:val="20"/>
          <w:szCs w:val="20"/>
        </w:rPr>
        <w:t>first</w:t>
      </w:r>
      <w:r w:rsidRPr="005A24D1">
        <w:rPr>
          <w:rFonts w:asciiTheme="minorHAnsi" w:hAnsiTheme="minorHAnsi"/>
          <w:sz w:val="20"/>
          <w:szCs w:val="20"/>
        </w:rPr>
        <w:t xml:space="preserve"> identifying </w:t>
      </w:r>
      <w:r>
        <w:rPr>
          <w:rFonts w:asciiTheme="minorHAnsi" w:hAnsiTheme="minorHAnsi"/>
          <w:sz w:val="20"/>
          <w:szCs w:val="20"/>
        </w:rPr>
        <w:t xml:space="preserve">any </w:t>
      </w:r>
      <w:r w:rsidRPr="005A24D1">
        <w:rPr>
          <w:rFonts w:asciiTheme="minorHAnsi" w:hAnsiTheme="minorHAnsi"/>
          <w:sz w:val="20"/>
          <w:szCs w:val="20"/>
        </w:rPr>
        <w:t>relevant conflict-affected areas</w:t>
      </w:r>
      <w:r>
        <w:rPr>
          <w:rFonts w:asciiTheme="minorHAnsi" w:hAnsiTheme="minorHAnsi"/>
          <w:sz w:val="20"/>
          <w:szCs w:val="20"/>
        </w:rPr>
        <w:t xml:space="preserve"> where you may have operations or direct suppliers.  </w:t>
      </w:r>
      <w:r w:rsidR="00A267E2">
        <w:rPr>
          <w:rFonts w:asciiTheme="minorHAnsi" w:hAnsiTheme="minorHAnsi"/>
          <w:sz w:val="20"/>
          <w:szCs w:val="20"/>
        </w:rPr>
        <w:t>If you are unsure whether you operate in or source from any c</w:t>
      </w:r>
      <w:r w:rsidR="00D5555B">
        <w:rPr>
          <w:rFonts w:asciiTheme="minorHAnsi" w:hAnsiTheme="minorHAnsi"/>
          <w:sz w:val="20"/>
          <w:szCs w:val="20"/>
        </w:rPr>
        <w:t>onflict-affected areas</w:t>
      </w:r>
      <w:r w:rsidR="00A267E2">
        <w:rPr>
          <w:rFonts w:asciiTheme="minorHAnsi" w:hAnsiTheme="minorHAnsi"/>
          <w:sz w:val="20"/>
          <w:szCs w:val="20"/>
        </w:rPr>
        <w:t>, seek guidance from</w:t>
      </w:r>
      <w:r w:rsidR="00D5555B">
        <w:rPr>
          <w:rFonts w:asciiTheme="minorHAnsi" w:hAnsiTheme="minorHAnsi"/>
          <w:sz w:val="20"/>
          <w:szCs w:val="20"/>
        </w:rPr>
        <w:t>:</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 xml:space="preserve">UN Security Council Resolutions.  Note if any international sanctions apply, it may not be possible to operate in accordance with </w:t>
      </w:r>
      <w:r w:rsidR="00757685">
        <w:rPr>
          <w:rFonts w:asciiTheme="minorHAnsi" w:hAnsiTheme="minorHAnsi"/>
          <w:sz w:val="20"/>
          <w:szCs w:val="20"/>
        </w:rPr>
        <w:t>Applicable Law</w:t>
      </w:r>
      <w:r w:rsidRPr="00A267E2">
        <w:rPr>
          <w:rFonts w:asciiTheme="minorHAnsi" w:hAnsiTheme="minorHAnsi"/>
          <w:sz w:val="20"/>
          <w:szCs w:val="20"/>
        </w:rPr>
        <w:t>.</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UN Peacekeeping Operations</w:t>
      </w:r>
      <w:r>
        <w:rPr>
          <w:rFonts w:asciiTheme="minorHAnsi" w:hAnsiTheme="minorHAnsi"/>
          <w:sz w:val="20"/>
          <w:szCs w:val="20"/>
        </w:rPr>
        <w:t>.</w:t>
      </w:r>
      <w:r w:rsidRPr="00A267E2">
        <w:rPr>
          <w:rFonts w:asciiTheme="minorHAnsi" w:hAnsiTheme="minorHAnsi"/>
          <w:sz w:val="20"/>
          <w:szCs w:val="20"/>
        </w:rPr>
        <w:t xml:space="preserve"> </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US State Department “Conflict Minerals Map” and associated reports required by the Dodd-Frank Act.</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US State Department Country Reports on Human Rights Practices.</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Heidelberg Institute Conflict Barometer.</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Uppsala Conflict Data Program.</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International Alert.</w:t>
      </w:r>
    </w:p>
    <w:p w:rsidR="00A267E2" w:rsidRPr="00A267E2" w:rsidRDefault="00A267E2" w:rsidP="00A267E2">
      <w:pPr>
        <w:pStyle w:val="ListParagraph"/>
        <w:numPr>
          <w:ilvl w:val="1"/>
          <w:numId w:val="10"/>
        </w:numPr>
        <w:contextualSpacing/>
        <w:rPr>
          <w:rFonts w:asciiTheme="minorHAnsi" w:hAnsiTheme="minorHAnsi"/>
          <w:sz w:val="20"/>
          <w:szCs w:val="20"/>
        </w:rPr>
      </w:pPr>
      <w:r w:rsidRPr="00A267E2">
        <w:rPr>
          <w:rFonts w:asciiTheme="minorHAnsi" w:hAnsiTheme="minorHAnsi"/>
          <w:sz w:val="20"/>
          <w:szCs w:val="20"/>
        </w:rPr>
        <w:t>International Crisis Group.</w:t>
      </w:r>
    </w:p>
    <w:p w:rsidR="00A267E2" w:rsidRDefault="00A267E2" w:rsidP="00A267E2">
      <w:pPr>
        <w:pStyle w:val="ListParagraph"/>
        <w:numPr>
          <w:ilvl w:val="1"/>
          <w:numId w:val="10"/>
        </w:numPr>
        <w:contextualSpacing/>
        <w:rPr>
          <w:rFonts w:asciiTheme="minorHAnsi" w:hAnsiTheme="minorHAnsi"/>
          <w:sz w:val="20"/>
          <w:szCs w:val="20"/>
        </w:rPr>
      </w:pPr>
      <w:r>
        <w:rPr>
          <w:rFonts w:asciiTheme="minorHAnsi" w:hAnsiTheme="minorHAnsi"/>
          <w:sz w:val="20"/>
          <w:szCs w:val="20"/>
        </w:rPr>
        <w:t xml:space="preserve">The business’ in-country risk assessments </w:t>
      </w:r>
      <w:r w:rsidRPr="00A267E2">
        <w:rPr>
          <w:rFonts w:asciiTheme="minorHAnsi" w:hAnsiTheme="minorHAnsi"/>
          <w:sz w:val="20"/>
          <w:szCs w:val="20"/>
        </w:rPr>
        <w:t>and</w:t>
      </w:r>
      <w:r>
        <w:rPr>
          <w:rFonts w:asciiTheme="minorHAnsi" w:hAnsiTheme="minorHAnsi"/>
          <w:sz w:val="20"/>
          <w:szCs w:val="20"/>
        </w:rPr>
        <w:t>/or</w:t>
      </w:r>
      <w:r w:rsidRPr="00A267E2">
        <w:rPr>
          <w:rFonts w:asciiTheme="minorHAnsi" w:hAnsiTheme="minorHAnsi"/>
          <w:sz w:val="20"/>
          <w:szCs w:val="20"/>
        </w:rPr>
        <w:t xml:space="preserve"> incident monitoring and reporting.</w:t>
      </w:r>
    </w:p>
    <w:p w:rsidR="0053604F" w:rsidRDefault="0053604F" w:rsidP="0053604F">
      <w:pPr>
        <w:contextualSpacing/>
        <w:rPr>
          <w:rFonts w:asciiTheme="minorHAnsi" w:hAnsiTheme="minorHAnsi"/>
          <w:sz w:val="20"/>
          <w:szCs w:val="20"/>
        </w:rPr>
      </w:pPr>
    </w:p>
    <w:tbl>
      <w:tblPr>
        <w:tblStyle w:val="TableGrid"/>
        <w:tblW w:w="0" w:type="auto"/>
        <w:shd w:val="clear" w:color="auto" w:fill="EAF1DD" w:themeFill="accent3" w:themeFillTint="33"/>
        <w:tblLook w:val="04A0"/>
      </w:tblPr>
      <w:tblGrid>
        <w:gridCol w:w="9242"/>
      </w:tblGrid>
      <w:tr w:rsidR="0053604F" w:rsidTr="0033539A">
        <w:tc>
          <w:tcPr>
            <w:tcW w:w="9242" w:type="dxa"/>
            <w:shd w:val="clear" w:color="auto" w:fill="EAF1DD" w:themeFill="accent3" w:themeFillTint="33"/>
          </w:tcPr>
          <w:p w:rsidR="0053604F" w:rsidRPr="0053604F" w:rsidRDefault="0053604F" w:rsidP="0053604F">
            <w:pPr>
              <w:contextualSpacing/>
              <w:rPr>
                <w:rFonts w:asciiTheme="minorHAnsi" w:hAnsiTheme="minorHAnsi"/>
                <w:b/>
                <w:sz w:val="20"/>
                <w:szCs w:val="20"/>
              </w:rPr>
            </w:pPr>
            <w:r>
              <w:rPr>
                <w:rFonts w:asciiTheme="minorHAnsi" w:hAnsiTheme="minorHAnsi"/>
                <w:b/>
                <w:sz w:val="20"/>
                <w:szCs w:val="20"/>
              </w:rPr>
              <w:t xml:space="preserve">Box </w:t>
            </w:r>
            <w:r w:rsidRPr="00066BD1">
              <w:rPr>
                <w:rFonts w:asciiTheme="minorHAnsi" w:hAnsiTheme="minorHAnsi"/>
                <w:b/>
                <w:sz w:val="20"/>
                <w:szCs w:val="20"/>
                <w:highlight w:val="yellow"/>
              </w:rPr>
              <w:t>X</w:t>
            </w:r>
            <w:r>
              <w:rPr>
                <w:rFonts w:asciiTheme="minorHAnsi" w:hAnsiTheme="minorHAnsi"/>
                <w:b/>
                <w:sz w:val="20"/>
                <w:szCs w:val="20"/>
              </w:rPr>
              <w:t xml:space="preserve">:  </w:t>
            </w:r>
            <w:r w:rsidRPr="0053604F">
              <w:rPr>
                <w:rFonts w:asciiTheme="minorHAnsi" w:hAnsiTheme="minorHAnsi"/>
                <w:b/>
                <w:sz w:val="20"/>
                <w:szCs w:val="20"/>
              </w:rPr>
              <w:t xml:space="preserve">Geneva Academy:  Indicators for conflict-affected </w:t>
            </w:r>
            <w:r w:rsidR="00D56993">
              <w:rPr>
                <w:rFonts w:asciiTheme="minorHAnsi" w:hAnsiTheme="minorHAnsi"/>
                <w:b/>
                <w:sz w:val="20"/>
                <w:szCs w:val="20"/>
              </w:rPr>
              <w:t xml:space="preserve">and high-risk </w:t>
            </w:r>
            <w:r w:rsidRPr="0053604F">
              <w:rPr>
                <w:rFonts w:asciiTheme="minorHAnsi" w:hAnsiTheme="minorHAnsi"/>
                <w:b/>
                <w:sz w:val="20"/>
                <w:szCs w:val="20"/>
              </w:rPr>
              <w:t>areas</w:t>
            </w:r>
          </w:p>
          <w:p w:rsidR="0053604F" w:rsidRPr="0053604F" w:rsidRDefault="0053604F" w:rsidP="0053604F">
            <w:pPr>
              <w:contextualSpacing/>
              <w:rPr>
                <w:rFonts w:asciiTheme="minorHAnsi" w:hAnsiTheme="minorHAnsi"/>
                <w:i/>
                <w:sz w:val="20"/>
                <w:szCs w:val="20"/>
              </w:rPr>
            </w:pPr>
            <w:r w:rsidRPr="0053604F">
              <w:rPr>
                <w:rFonts w:asciiTheme="minorHAnsi" w:hAnsiTheme="minorHAnsi"/>
                <w:i/>
                <w:sz w:val="20"/>
                <w:szCs w:val="20"/>
              </w:rPr>
              <w:t>Between states:</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One or more states attack another state’s territory or armed forces with ground forces;</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One or more states attack another state’s territory or armed forces with air forces;</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 xml:space="preserve">One or more states’ navies attack another state’s territory or armed forces; and/or </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 xml:space="preserve">One or more states occupy another state’s territory without the latter’s consent. </w:t>
            </w:r>
          </w:p>
          <w:p w:rsidR="0053604F" w:rsidRPr="0053604F" w:rsidRDefault="0053604F" w:rsidP="0053604F">
            <w:pPr>
              <w:contextualSpacing/>
              <w:rPr>
                <w:rFonts w:asciiTheme="minorHAnsi" w:hAnsiTheme="minorHAnsi"/>
                <w:i/>
                <w:sz w:val="20"/>
                <w:szCs w:val="20"/>
                <w:lang w:val="en-AU"/>
              </w:rPr>
            </w:pPr>
            <w:r w:rsidRPr="0053604F">
              <w:rPr>
                <w:rFonts w:asciiTheme="minorHAnsi" w:hAnsiTheme="minorHAnsi"/>
                <w:i/>
                <w:sz w:val="20"/>
                <w:szCs w:val="20"/>
                <w:lang w:val="en-US"/>
              </w:rPr>
              <w:t>Instability:</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UN Security Council has stated that international humanitarian law applies to a particular situation;</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rPr>
              <w:lastRenderedPageBreak/>
              <w:t>Organised</w:t>
            </w:r>
            <w:r w:rsidRPr="0053604F">
              <w:rPr>
                <w:rFonts w:asciiTheme="minorHAnsi" w:hAnsiTheme="minorHAnsi"/>
                <w:sz w:val="20"/>
                <w:szCs w:val="20"/>
                <w:lang w:val="en-US"/>
              </w:rPr>
              <w:t xml:space="preserve"> </w:t>
            </w:r>
            <w:r w:rsidRPr="0053604F">
              <w:rPr>
                <w:rFonts w:asciiTheme="minorHAnsi" w:hAnsiTheme="minorHAnsi"/>
                <w:sz w:val="20"/>
                <w:szCs w:val="20"/>
              </w:rPr>
              <w:t>NSAG controls territory of a state;</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rPr>
              <w:t xml:space="preserve">Organised NSAG is fighting with armed forces </w:t>
            </w:r>
            <w:r w:rsidRPr="0053604F">
              <w:rPr>
                <w:rFonts w:asciiTheme="minorHAnsi" w:hAnsiTheme="minorHAnsi"/>
                <w:sz w:val="20"/>
                <w:szCs w:val="20"/>
                <w:lang w:val="en-US"/>
              </w:rPr>
              <w:t>of a state on a regular basis;</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Many civilians are fleeing combat zones; and/or</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 xml:space="preserve">In failed state or area where rule of law has broken down, members of two or more </w:t>
            </w:r>
            <w:r w:rsidRPr="0053604F">
              <w:rPr>
                <w:rFonts w:asciiTheme="minorHAnsi" w:hAnsiTheme="minorHAnsi"/>
                <w:sz w:val="20"/>
                <w:szCs w:val="20"/>
              </w:rPr>
              <w:t>organised</w:t>
            </w:r>
            <w:r w:rsidRPr="0053604F">
              <w:rPr>
                <w:rFonts w:asciiTheme="minorHAnsi" w:hAnsiTheme="minorHAnsi"/>
                <w:sz w:val="20"/>
                <w:szCs w:val="20"/>
                <w:lang w:val="en-US"/>
              </w:rPr>
              <w:t xml:space="preserve"> NSAGs fighting each other on regular basis. </w:t>
            </w:r>
          </w:p>
          <w:p w:rsidR="0053604F" w:rsidRPr="0053604F" w:rsidRDefault="0053604F" w:rsidP="0053604F">
            <w:pPr>
              <w:contextualSpacing/>
              <w:rPr>
                <w:rFonts w:asciiTheme="minorHAnsi" w:hAnsiTheme="minorHAnsi"/>
                <w:i/>
                <w:sz w:val="20"/>
                <w:szCs w:val="20"/>
                <w:lang w:val="en-AU"/>
              </w:rPr>
            </w:pPr>
            <w:r w:rsidRPr="0053604F">
              <w:rPr>
                <w:rFonts w:asciiTheme="minorHAnsi" w:hAnsiTheme="minorHAnsi"/>
                <w:i/>
                <w:sz w:val="20"/>
                <w:szCs w:val="20"/>
                <w:lang w:val="en-AU"/>
              </w:rPr>
              <w:t>Armed conflict:</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 xml:space="preserve">Area falls within territory on which armed conflict is ongoing; </w:t>
            </w:r>
          </w:p>
          <w:p w:rsidR="002636AB" w:rsidRPr="0053604F"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 xml:space="preserve">Area contains internally displaced persons fleeing armed conflict, and/or </w:t>
            </w:r>
          </w:p>
          <w:p w:rsidR="0053604F" w:rsidRPr="00D56993" w:rsidRDefault="00101F7C" w:rsidP="0053604F">
            <w:pPr>
              <w:numPr>
                <w:ilvl w:val="0"/>
                <w:numId w:val="19"/>
              </w:numPr>
              <w:contextualSpacing/>
              <w:rPr>
                <w:rFonts w:asciiTheme="minorHAnsi" w:hAnsiTheme="minorHAnsi"/>
                <w:sz w:val="20"/>
                <w:szCs w:val="20"/>
                <w:lang w:val="en-AU"/>
              </w:rPr>
            </w:pPr>
            <w:r w:rsidRPr="0053604F">
              <w:rPr>
                <w:rFonts w:asciiTheme="minorHAnsi" w:hAnsiTheme="minorHAnsi"/>
                <w:sz w:val="20"/>
                <w:szCs w:val="20"/>
                <w:lang w:val="en-US"/>
              </w:rPr>
              <w:t>Area contains a refugee camp or refugees who have fled across the border from a state in which an armed conflict is ongoing</w:t>
            </w:r>
            <w:r w:rsidR="0053604F">
              <w:rPr>
                <w:rFonts w:asciiTheme="minorHAnsi" w:hAnsiTheme="minorHAnsi"/>
                <w:sz w:val="20"/>
                <w:szCs w:val="20"/>
                <w:lang w:val="en-US"/>
              </w:rPr>
              <w:t>.</w:t>
            </w:r>
          </w:p>
          <w:p w:rsidR="00D56993" w:rsidRPr="00D56993" w:rsidRDefault="00D56993" w:rsidP="00D56993">
            <w:pPr>
              <w:contextualSpacing/>
              <w:rPr>
                <w:rFonts w:asciiTheme="minorHAnsi" w:hAnsiTheme="minorHAnsi"/>
                <w:i/>
                <w:sz w:val="20"/>
                <w:szCs w:val="20"/>
                <w:lang w:val="en-AU"/>
              </w:rPr>
            </w:pPr>
            <w:r w:rsidRPr="00D56993">
              <w:rPr>
                <w:rFonts w:asciiTheme="minorHAnsi" w:hAnsiTheme="minorHAnsi"/>
                <w:i/>
                <w:sz w:val="20"/>
                <w:szCs w:val="20"/>
                <w:lang w:val="en-AU"/>
              </w:rPr>
              <w:t>High-risk areas:</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T</w:t>
            </w:r>
            <w:r w:rsidRPr="00D56993">
              <w:rPr>
                <w:rFonts w:asciiTheme="minorHAnsi" w:hAnsiTheme="minorHAnsi"/>
                <w:sz w:val="20"/>
                <w:szCs w:val="20"/>
              </w:rPr>
              <w:t>he state is no longer effectively able to tackle ordinary crime;</w:t>
            </w:r>
          </w:p>
          <w:p w:rsidR="00017EF0" w:rsidRPr="00D56993" w:rsidRDefault="00D56993" w:rsidP="00D56993">
            <w:pPr>
              <w:numPr>
                <w:ilvl w:val="0"/>
                <w:numId w:val="23"/>
              </w:numPr>
              <w:contextualSpacing/>
              <w:rPr>
                <w:rFonts w:asciiTheme="minorHAnsi" w:hAnsiTheme="minorHAnsi"/>
                <w:sz w:val="20"/>
                <w:szCs w:val="20"/>
                <w:lang w:val="en-US"/>
              </w:rPr>
            </w:pPr>
            <w:r>
              <w:rPr>
                <w:rFonts w:asciiTheme="minorHAnsi" w:hAnsiTheme="minorHAnsi"/>
                <w:sz w:val="20"/>
                <w:szCs w:val="20"/>
              </w:rPr>
              <w:t>T</w:t>
            </w:r>
            <w:r w:rsidR="00A11A0A" w:rsidRPr="00D56993">
              <w:rPr>
                <w:rFonts w:asciiTheme="minorHAnsi" w:hAnsiTheme="minorHAnsi"/>
                <w:sz w:val="20"/>
                <w:szCs w:val="20"/>
              </w:rPr>
              <w:t xml:space="preserve">he police or other security forces are killing or beating ordinary people with apparent impunity; </w:t>
            </w:r>
          </w:p>
          <w:p w:rsidR="00017EF0" w:rsidRPr="00D56993" w:rsidRDefault="00A11A0A" w:rsidP="00A11A0A">
            <w:pPr>
              <w:ind w:left="360"/>
              <w:contextualSpacing/>
              <w:rPr>
                <w:rFonts w:asciiTheme="minorHAnsi" w:hAnsiTheme="minorHAnsi"/>
                <w:sz w:val="20"/>
                <w:szCs w:val="20"/>
                <w:lang w:val="en-US"/>
              </w:rPr>
            </w:pPr>
            <w:r>
              <w:rPr>
                <w:rFonts w:asciiTheme="minorHAnsi" w:hAnsiTheme="minorHAnsi"/>
                <w:sz w:val="20"/>
                <w:szCs w:val="20"/>
              </w:rPr>
              <w:t xml:space="preserve">or </w:t>
            </w:r>
            <w:r w:rsidRPr="00D56993">
              <w:rPr>
                <w:rFonts w:asciiTheme="minorHAnsi" w:hAnsiTheme="minorHAnsi"/>
                <w:sz w:val="20"/>
                <w:szCs w:val="20"/>
              </w:rPr>
              <w:t>are conducting widespread, arbitrary arrests of ordinary people;</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The p</w:t>
            </w:r>
            <w:r w:rsidRPr="00D56993">
              <w:rPr>
                <w:rFonts w:asciiTheme="minorHAnsi" w:hAnsiTheme="minorHAnsi"/>
                <w:sz w:val="20"/>
                <w:szCs w:val="20"/>
              </w:rPr>
              <w:t>olice or other security forces cannot enter or patrol safely;</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T</w:t>
            </w:r>
            <w:r w:rsidRPr="00D56993">
              <w:rPr>
                <w:rFonts w:asciiTheme="minorHAnsi" w:hAnsiTheme="minorHAnsi"/>
                <w:sz w:val="20"/>
                <w:szCs w:val="20"/>
              </w:rPr>
              <w:t>he state cannot provide basic health services and/or primary education;</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C</w:t>
            </w:r>
            <w:r w:rsidRPr="00D56993">
              <w:rPr>
                <w:rFonts w:asciiTheme="minorHAnsi" w:hAnsiTheme="minorHAnsi"/>
                <w:sz w:val="20"/>
                <w:szCs w:val="20"/>
              </w:rPr>
              <w:t>hildren are engaged in dangerous forms of labour;</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There are</w:t>
            </w:r>
            <w:r w:rsidRPr="00D56993">
              <w:rPr>
                <w:rFonts w:asciiTheme="minorHAnsi" w:hAnsiTheme="minorHAnsi"/>
                <w:sz w:val="20"/>
                <w:szCs w:val="20"/>
              </w:rPr>
              <w:t xml:space="preserve"> high levels of sexual violence;</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P</w:t>
            </w:r>
            <w:r w:rsidRPr="00D56993">
              <w:rPr>
                <w:rFonts w:asciiTheme="minorHAnsi" w:hAnsiTheme="minorHAnsi"/>
                <w:sz w:val="20"/>
                <w:szCs w:val="20"/>
              </w:rPr>
              <w:t>eople are forced to carry out labour;</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C</w:t>
            </w:r>
            <w:r w:rsidRPr="00D56993">
              <w:rPr>
                <w:rFonts w:asciiTheme="minorHAnsi" w:hAnsiTheme="minorHAnsi"/>
                <w:sz w:val="20"/>
                <w:szCs w:val="20"/>
              </w:rPr>
              <w:t xml:space="preserve">hildren are being recruited into armed forces or armed groups; </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B</w:t>
            </w:r>
            <w:r w:rsidRPr="00D56993">
              <w:rPr>
                <w:rFonts w:asciiTheme="minorHAnsi" w:hAnsiTheme="minorHAnsi"/>
                <w:sz w:val="20"/>
                <w:szCs w:val="20"/>
              </w:rPr>
              <w:t xml:space="preserve">ribes are demanded for ordinary state services; </w:t>
            </w:r>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T</w:t>
            </w:r>
            <w:r w:rsidRPr="00D56993">
              <w:rPr>
                <w:rFonts w:asciiTheme="minorHAnsi" w:hAnsiTheme="minorHAnsi"/>
                <w:sz w:val="20"/>
                <w:szCs w:val="20"/>
              </w:rPr>
              <w:t xml:space="preserve">he law is not enforced impartially by the judiciary; and/or </w:t>
            </w:r>
            <w:bookmarkStart w:id="0" w:name="_GoBack"/>
            <w:bookmarkEnd w:id="0"/>
          </w:p>
          <w:p w:rsidR="00017EF0" w:rsidRPr="00D56993" w:rsidRDefault="00A11A0A" w:rsidP="00D56993">
            <w:pPr>
              <w:numPr>
                <w:ilvl w:val="0"/>
                <w:numId w:val="23"/>
              </w:numPr>
              <w:contextualSpacing/>
              <w:rPr>
                <w:rFonts w:asciiTheme="minorHAnsi" w:hAnsiTheme="minorHAnsi"/>
                <w:sz w:val="20"/>
                <w:szCs w:val="20"/>
                <w:lang w:val="en-US"/>
              </w:rPr>
            </w:pPr>
            <w:r>
              <w:rPr>
                <w:rFonts w:asciiTheme="minorHAnsi" w:hAnsiTheme="minorHAnsi"/>
                <w:sz w:val="20"/>
                <w:szCs w:val="20"/>
              </w:rPr>
              <w:t>O</w:t>
            </w:r>
            <w:r w:rsidRPr="00D56993">
              <w:rPr>
                <w:rFonts w:asciiTheme="minorHAnsi" w:hAnsiTheme="minorHAnsi"/>
                <w:sz w:val="20"/>
                <w:szCs w:val="20"/>
              </w:rPr>
              <w:t>rganised crime networks operate successfully and with apparent impunity.</w:t>
            </w:r>
          </w:p>
          <w:p w:rsidR="00D56993" w:rsidRPr="00D56993" w:rsidRDefault="00D56993" w:rsidP="00A11A0A">
            <w:pPr>
              <w:ind w:left="720"/>
              <w:contextualSpacing/>
              <w:rPr>
                <w:rFonts w:asciiTheme="minorHAnsi" w:hAnsiTheme="minorHAnsi"/>
                <w:b/>
                <w:i/>
                <w:sz w:val="20"/>
                <w:szCs w:val="20"/>
                <w:lang w:val="en-AU"/>
              </w:rPr>
            </w:pPr>
          </w:p>
        </w:tc>
      </w:tr>
    </w:tbl>
    <w:p w:rsidR="0053604F" w:rsidRDefault="0053604F" w:rsidP="0053604F">
      <w:pPr>
        <w:contextualSpacing/>
        <w:rPr>
          <w:rFonts w:asciiTheme="minorHAnsi" w:hAnsiTheme="minorHAnsi"/>
          <w:sz w:val="20"/>
          <w:szCs w:val="20"/>
        </w:rPr>
      </w:pPr>
    </w:p>
    <w:p w:rsidR="00073160" w:rsidRPr="00D14E1D" w:rsidRDefault="00291EB2" w:rsidP="00E113C7">
      <w:pPr>
        <w:pStyle w:val="ListParagraph"/>
        <w:ind w:left="360"/>
        <w:contextualSpacing/>
        <w:rPr>
          <w:rFonts w:asciiTheme="minorHAnsi" w:hAnsiTheme="minorHAnsi"/>
          <w:b/>
          <w:bCs/>
          <w:sz w:val="20"/>
          <w:szCs w:val="20"/>
        </w:rPr>
      </w:pPr>
      <w:r w:rsidRPr="00D14E1D">
        <w:rPr>
          <w:rFonts w:asciiTheme="minorHAnsi" w:hAnsiTheme="minorHAnsi"/>
          <w:b/>
          <w:bCs/>
          <w:sz w:val="20"/>
          <w:szCs w:val="20"/>
        </w:rPr>
        <w:t>Points to consider:</w:t>
      </w:r>
    </w:p>
    <w:p w:rsidR="003A456E" w:rsidRPr="003A456E" w:rsidRDefault="003A456E" w:rsidP="004B632D">
      <w:pPr>
        <w:pStyle w:val="ListParagraph"/>
        <w:numPr>
          <w:ilvl w:val="1"/>
          <w:numId w:val="10"/>
        </w:numPr>
        <w:ind w:left="1080"/>
        <w:contextualSpacing/>
        <w:rPr>
          <w:rFonts w:asciiTheme="minorHAnsi" w:hAnsiTheme="minorHAnsi"/>
          <w:sz w:val="20"/>
          <w:szCs w:val="20"/>
        </w:rPr>
      </w:pPr>
      <w:r>
        <w:rPr>
          <w:rFonts w:asciiTheme="minorHAnsi" w:hAnsiTheme="minorHAnsi" w:cs="Arial"/>
          <w:sz w:val="20"/>
          <w:szCs w:val="20"/>
        </w:rPr>
        <w:t>Integrate conflict-sensitive sourcing</w:t>
      </w:r>
      <w:r w:rsidR="00C03C3C">
        <w:rPr>
          <w:rFonts w:asciiTheme="minorHAnsi" w:hAnsiTheme="minorHAnsi" w:cs="Arial"/>
          <w:sz w:val="20"/>
          <w:szCs w:val="20"/>
        </w:rPr>
        <w:t xml:space="preserve"> commitments</w:t>
      </w:r>
      <w:r>
        <w:rPr>
          <w:rFonts w:asciiTheme="minorHAnsi" w:hAnsiTheme="minorHAnsi" w:cs="Arial"/>
          <w:sz w:val="20"/>
          <w:szCs w:val="20"/>
        </w:rPr>
        <w:t xml:space="preserve"> into your </w:t>
      </w:r>
      <w:r w:rsidR="00C03C3C">
        <w:rPr>
          <w:rFonts w:asciiTheme="minorHAnsi" w:hAnsiTheme="minorHAnsi" w:cs="Arial"/>
          <w:sz w:val="20"/>
          <w:szCs w:val="20"/>
        </w:rPr>
        <w:t>company policy/</w:t>
      </w:r>
      <w:proofErr w:type="spellStart"/>
      <w:r w:rsidR="00C03C3C">
        <w:rPr>
          <w:rFonts w:asciiTheme="minorHAnsi" w:hAnsiTheme="minorHAnsi" w:cs="Arial"/>
          <w:sz w:val="20"/>
          <w:szCs w:val="20"/>
        </w:rPr>
        <w:t>ies</w:t>
      </w:r>
      <w:proofErr w:type="spellEnd"/>
      <w:r w:rsidR="00C03C3C">
        <w:rPr>
          <w:rFonts w:asciiTheme="minorHAnsi" w:hAnsiTheme="minorHAnsi" w:cs="Arial"/>
          <w:sz w:val="20"/>
          <w:szCs w:val="20"/>
        </w:rPr>
        <w:t>.  This could be via:</w:t>
      </w:r>
    </w:p>
    <w:p w:rsidR="00214E71" w:rsidRPr="00214E71" w:rsidRDefault="00C03C3C" w:rsidP="003A456E">
      <w:pPr>
        <w:pStyle w:val="ListParagraph"/>
        <w:numPr>
          <w:ilvl w:val="1"/>
          <w:numId w:val="17"/>
        </w:numPr>
        <w:contextualSpacing/>
        <w:rPr>
          <w:rFonts w:asciiTheme="minorHAnsi" w:hAnsiTheme="minorHAnsi"/>
          <w:sz w:val="20"/>
          <w:szCs w:val="20"/>
        </w:rPr>
      </w:pPr>
      <w:r>
        <w:rPr>
          <w:rFonts w:asciiTheme="minorHAnsi" w:hAnsiTheme="minorHAnsi" w:cs="Arial"/>
          <w:sz w:val="20"/>
          <w:szCs w:val="20"/>
        </w:rPr>
        <w:t>I</w:t>
      </w:r>
      <w:proofErr w:type="spellStart"/>
      <w:r w:rsidRPr="00214E71">
        <w:rPr>
          <w:rFonts w:asciiTheme="minorHAnsi" w:hAnsiTheme="minorHAnsi" w:cs="Arial"/>
          <w:sz w:val="20"/>
          <w:szCs w:val="20"/>
          <w:lang w:val="en-US"/>
        </w:rPr>
        <w:t>nclud</w:t>
      </w:r>
      <w:r>
        <w:rPr>
          <w:rFonts w:asciiTheme="minorHAnsi" w:hAnsiTheme="minorHAnsi" w:cs="Arial"/>
          <w:sz w:val="20"/>
          <w:szCs w:val="20"/>
          <w:lang w:val="en-US"/>
        </w:rPr>
        <w:t>ing</w:t>
      </w:r>
      <w:proofErr w:type="spellEnd"/>
      <w:r>
        <w:rPr>
          <w:rFonts w:asciiTheme="minorHAnsi" w:hAnsiTheme="minorHAnsi" w:cs="Arial"/>
          <w:sz w:val="20"/>
          <w:szCs w:val="20"/>
          <w:lang w:val="en-US"/>
        </w:rPr>
        <w:t xml:space="preserve"> </w:t>
      </w:r>
      <w:r w:rsidRPr="00214E71">
        <w:rPr>
          <w:rFonts w:asciiTheme="minorHAnsi" w:hAnsiTheme="minorHAnsi" w:cs="Arial"/>
          <w:sz w:val="20"/>
          <w:szCs w:val="20"/>
          <w:lang w:val="en-US"/>
        </w:rPr>
        <w:t>a commitment to avoid contributing to conflict</w:t>
      </w:r>
      <w:r>
        <w:rPr>
          <w:rFonts w:asciiTheme="minorHAnsi" w:hAnsiTheme="minorHAnsi" w:cs="Arial"/>
          <w:sz w:val="20"/>
          <w:szCs w:val="20"/>
          <w:lang w:val="en-US"/>
        </w:rPr>
        <w:t xml:space="preserve"> in the business’</w:t>
      </w:r>
      <w:r w:rsidR="00214E71" w:rsidRPr="00214E71">
        <w:rPr>
          <w:rFonts w:asciiTheme="minorHAnsi" w:hAnsiTheme="minorHAnsi" w:cs="Arial"/>
          <w:sz w:val="20"/>
          <w:szCs w:val="20"/>
        </w:rPr>
        <w:t xml:space="preserve"> policy statement </w:t>
      </w:r>
      <w:r>
        <w:rPr>
          <w:rFonts w:asciiTheme="minorHAnsi" w:hAnsiTheme="minorHAnsi" w:cs="Arial"/>
          <w:sz w:val="20"/>
          <w:szCs w:val="20"/>
        </w:rPr>
        <w:t>on</w:t>
      </w:r>
      <w:r w:rsidR="00214E71" w:rsidRPr="00214E71">
        <w:rPr>
          <w:rFonts w:asciiTheme="minorHAnsi" w:hAnsiTheme="minorHAnsi" w:cs="Arial"/>
          <w:sz w:val="20"/>
          <w:szCs w:val="20"/>
        </w:rPr>
        <w:t xml:space="preserve"> respecting human rights</w:t>
      </w:r>
      <w:r w:rsidR="00214E71" w:rsidRPr="00214E71">
        <w:rPr>
          <w:rFonts w:asciiTheme="minorHAnsi" w:hAnsiTheme="minorHAnsi" w:cs="Arial"/>
          <w:sz w:val="20"/>
          <w:szCs w:val="20"/>
          <w:lang w:val="en-US"/>
        </w:rPr>
        <w:t xml:space="preserve"> </w:t>
      </w:r>
      <w:r>
        <w:rPr>
          <w:rFonts w:asciiTheme="minorHAnsi" w:hAnsiTheme="minorHAnsi" w:cs="Arial"/>
          <w:sz w:val="20"/>
          <w:szCs w:val="20"/>
          <w:lang w:val="en-US"/>
        </w:rPr>
        <w:t>(</w:t>
      </w:r>
      <w:r w:rsidRPr="003A2A5D">
        <w:rPr>
          <w:rFonts w:asciiTheme="minorHAnsi" w:hAnsiTheme="minorHAnsi" w:cs="Arial"/>
          <w:b/>
          <w:color w:val="31849B" w:themeColor="accent5" w:themeShade="BF"/>
          <w:sz w:val="20"/>
          <w:szCs w:val="20"/>
          <w:lang w:val="en-US"/>
        </w:rPr>
        <w:t>Human Rights</w:t>
      </w:r>
      <w:r>
        <w:rPr>
          <w:rFonts w:asciiTheme="minorHAnsi" w:hAnsiTheme="minorHAnsi" w:cs="Arial"/>
          <w:sz w:val="20"/>
          <w:szCs w:val="20"/>
          <w:lang w:val="en-US"/>
        </w:rPr>
        <w:t>) and/or responsible business practices generally (</w:t>
      </w:r>
      <w:r w:rsidRPr="003A2A5D">
        <w:rPr>
          <w:rFonts w:asciiTheme="minorHAnsi" w:hAnsiTheme="minorHAnsi" w:cs="Arial"/>
          <w:b/>
          <w:color w:val="31849B" w:themeColor="accent5" w:themeShade="BF"/>
          <w:sz w:val="20"/>
          <w:szCs w:val="20"/>
          <w:lang w:val="en-US"/>
        </w:rPr>
        <w:t>Policy and Implementation</w:t>
      </w:r>
      <w:r>
        <w:rPr>
          <w:rFonts w:asciiTheme="minorHAnsi" w:hAnsiTheme="minorHAnsi" w:cs="Arial"/>
          <w:sz w:val="20"/>
          <w:szCs w:val="20"/>
          <w:lang w:val="en-US"/>
        </w:rPr>
        <w:t>); or</w:t>
      </w:r>
      <w:r w:rsidR="00214E71" w:rsidRPr="00214E71">
        <w:rPr>
          <w:sz w:val="20"/>
          <w:szCs w:val="20"/>
        </w:rPr>
        <w:t xml:space="preserve"> </w:t>
      </w:r>
    </w:p>
    <w:p w:rsidR="00214E71" w:rsidRPr="003A456E" w:rsidRDefault="00C03C3C" w:rsidP="003A456E">
      <w:pPr>
        <w:pStyle w:val="ListParagraph"/>
        <w:numPr>
          <w:ilvl w:val="1"/>
          <w:numId w:val="17"/>
        </w:numPr>
        <w:contextualSpacing/>
        <w:rPr>
          <w:rFonts w:asciiTheme="minorHAnsi" w:hAnsiTheme="minorHAnsi" w:cs="Arial"/>
          <w:sz w:val="20"/>
          <w:szCs w:val="20"/>
        </w:rPr>
      </w:pPr>
      <w:r>
        <w:rPr>
          <w:rFonts w:asciiTheme="minorHAnsi" w:hAnsiTheme="minorHAnsi" w:cs="Arial"/>
          <w:sz w:val="20"/>
          <w:szCs w:val="20"/>
        </w:rPr>
        <w:t>E</w:t>
      </w:r>
      <w:r w:rsidR="00214E71" w:rsidRPr="003A456E">
        <w:rPr>
          <w:rFonts w:asciiTheme="minorHAnsi" w:hAnsiTheme="minorHAnsi" w:cs="Arial"/>
          <w:sz w:val="20"/>
          <w:szCs w:val="20"/>
        </w:rPr>
        <w:t xml:space="preserve">stablishing a </w:t>
      </w:r>
      <w:r w:rsidR="004B632D" w:rsidRPr="003A456E">
        <w:rPr>
          <w:rFonts w:asciiTheme="minorHAnsi" w:hAnsiTheme="minorHAnsi" w:cs="Arial"/>
          <w:sz w:val="20"/>
          <w:szCs w:val="20"/>
        </w:rPr>
        <w:t xml:space="preserve">more specific </w:t>
      </w:r>
      <w:r w:rsidR="00214E71" w:rsidRPr="003A456E">
        <w:rPr>
          <w:rFonts w:asciiTheme="minorHAnsi" w:hAnsiTheme="minorHAnsi" w:cs="Arial"/>
          <w:sz w:val="20"/>
          <w:szCs w:val="20"/>
        </w:rPr>
        <w:t xml:space="preserve">company supply chain policy for diamond, gold and platinum group metals from conflict-affected areas.  Model policies and templates are available in the OECD </w:t>
      </w:r>
      <w:r>
        <w:rPr>
          <w:rFonts w:asciiTheme="minorHAnsi" w:hAnsiTheme="minorHAnsi" w:cs="Arial"/>
          <w:sz w:val="20"/>
          <w:szCs w:val="20"/>
        </w:rPr>
        <w:t xml:space="preserve">Due Diligence </w:t>
      </w:r>
      <w:r w:rsidR="00214E71" w:rsidRPr="003A456E">
        <w:rPr>
          <w:rFonts w:asciiTheme="minorHAnsi" w:hAnsiTheme="minorHAnsi" w:cs="Arial"/>
          <w:sz w:val="20"/>
          <w:szCs w:val="20"/>
        </w:rPr>
        <w:t>Guidance and in the RJC Chain‐of‐Custody Standard Guidance</w:t>
      </w:r>
      <w:r w:rsidR="0035675B" w:rsidRPr="003A456E">
        <w:rPr>
          <w:rFonts w:asciiTheme="minorHAnsi" w:hAnsiTheme="minorHAnsi" w:cs="Arial"/>
          <w:sz w:val="20"/>
          <w:szCs w:val="20"/>
        </w:rPr>
        <w:t>.</w:t>
      </w:r>
    </w:p>
    <w:p w:rsidR="00C0619F" w:rsidRDefault="00761C82" w:rsidP="004B632D">
      <w:pPr>
        <w:pStyle w:val="ListParagraph"/>
        <w:numPr>
          <w:ilvl w:val="1"/>
          <w:numId w:val="10"/>
        </w:numPr>
        <w:ind w:left="1080"/>
        <w:contextualSpacing/>
        <w:rPr>
          <w:rFonts w:asciiTheme="minorHAnsi" w:hAnsiTheme="minorHAnsi"/>
          <w:sz w:val="20"/>
          <w:szCs w:val="20"/>
        </w:rPr>
      </w:pPr>
      <w:r>
        <w:rPr>
          <w:rFonts w:asciiTheme="minorHAnsi" w:hAnsiTheme="minorHAnsi"/>
          <w:sz w:val="20"/>
          <w:szCs w:val="20"/>
        </w:rPr>
        <w:t>Use a risk assessment or</w:t>
      </w:r>
      <w:r w:rsidR="00214E71">
        <w:rPr>
          <w:rFonts w:asciiTheme="minorHAnsi" w:hAnsiTheme="minorHAnsi"/>
          <w:sz w:val="20"/>
          <w:szCs w:val="20"/>
        </w:rPr>
        <w:t xml:space="preserve"> due diligence </w:t>
      </w:r>
      <w:r w:rsidR="00C0619F">
        <w:rPr>
          <w:rFonts w:asciiTheme="minorHAnsi" w:hAnsiTheme="minorHAnsi"/>
          <w:sz w:val="20"/>
          <w:szCs w:val="20"/>
        </w:rPr>
        <w:t xml:space="preserve">process to </w:t>
      </w:r>
      <w:r w:rsidR="000E5239">
        <w:rPr>
          <w:rFonts w:asciiTheme="minorHAnsi" w:hAnsiTheme="minorHAnsi"/>
          <w:sz w:val="20"/>
          <w:szCs w:val="20"/>
        </w:rPr>
        <w:t xml:space="preserve">document and </w:t>
      </w:r>
      <w:r w:rsidR="00C0619F">
        <w:rPr>
          <w:rFonts w:asciiTheme="minorHAnsi" w:hAnsiTheme="minorHAnsi"/>
          <w:sz w:val="20"/>
          <w:szCs w:val="20"/>
        </w:rPr>
        <w:t xml:space="preserve">review the heightened risks of adverse human rights impacts and contributing to conflict.  </w:t>
      </w:r>
    </w:p>
    <w:p w:rsidR="000E5239" w:rsidRDefault="000E5239" w:rsidP="003A456E">
      <w:pPr>
        <w:pStyle w:val="ListParagraph"/>
        <w:numPr>
          <w:ilvl w:val="1"/>
          <w:numId w:val="17"/>
        </w:numPr>
        <w:contextualSpacing/>
        <w:rPr>
          <w:rFonts w:asciiTheme="minorHAnsi" w:hAnsiTheme="minorHAnsi" w:cs="Arial"/>
          <w:sz w:val="20"/>
          <w:szCs w:val="20"/>
        </w:rPr>
      </w:pPr>
      <w:r>
        <w:rPr>
          <w:rFonts w:asciiTheme="minorHAnsi" w:hAnsiTheme="minorHAnsi" w:cs="Arial"/>
          <w:sz w:val="20"/>
          <w:szCs w:val="20"/>
        </w:rPr>
        <w:t>I</w:t>
      </w:r>
      <w:r w:rsidR="00711C37" w:rsidRPr="00C0619F">
        <w:rPr>
          <w:rFonts w:asciiTheme="minorHAnsi" w:hAnsiTheme="minorHAnsi" w:cs="Arial"/>
          <w:sz w:val="20"/>
          <w:szCs w:val="20"/>
        </w:rPr>
        <w:t xml:space="preserve">f the business operates in </w:t>
      </w:r>
      <w:r>
        <w:rPr>
          <w:rFonts w:asciiTheme="minorHAnsi" w:hAnsiTheme="minorHAnsi" w:cs="Arial"/>
          <w:sz w:val="20"/>
          <w:szCs w:val="20"/>
        </w:rPr>
        <w:t>a c</w:t>
      </w:r>
      <w:r w:rsidR="00214E71" w:rsidRPr="00C0619F">
        <w:rPr>
          <w:rFonts w:asciiTheme="minorHAnsi" w:hAnsiTheme="minorHAnsi" w:cs="Arial"/>
          <w:sz w:val="20"/>
          <w:szCs w:val="20"/>
        </w:rPr>
        <w:t>onflict-</w:t>
      </w:r>
      <w:r>
        <w:rPr>
          <w:rFonts w:asciiTheme="minorHAnsi" w:hAnsiTheme="minorHAnsi" w:cs="Arial"/>
          <w:sz w:val="20"/>
          <w:szCs w:val="20"/>
        </w:rPr>
        <w:t>a</w:t>
      </w:r>
      <w:r w:rsidR="00214E71" w:rsidRPr="00C0619F">
        <w:rPr>
          <w:rFonts w:asciiTheme="minorHAnsi" w:hAnsiTheme="minorHAnsi" w:cs="Arial"/>
          <w:sz w:val="20"/>
          <w:szCs w:val="20"/>
        </w:rPr>
        <w:t xml:space="preserve">ffected </w:t>
      </w:r>
      <w:r>
        <w:rPr>
          <w:rFonts w:asciiTheme="minorHAnsi" w:hAnsiTheme="minorHAnsi" w:cs="Arial"/>
          <w:sz w:val="20"/>
          <w:szCs w:val="20"/>
        </w:rPr>
        <w:t>a</w:t>
      </w:r>
      <w:r w:rsidR="00214E71" w:rsidRPr="00C0619F">
        <w:rPr>
          <w:rFonts w:asciiTheme="minorHAnsi" w:hAnsiTheme="minorHAnsi" w:cs="Arial"/>
          <w:sz w:val="20"/>
          <w:szCs w:val="20"/>
        </w:rPr>
        <w:t>rea</w:t>
      </w:r>
      <w:r>
        <w:rPr>
          <w:rFonts w:asciiTheme="minorHAnsi" w:hAnsiTheme="minorHAnsi" w:cs="Arial"/>
          <w:sz w:val="20"/>
          <w:szCs w:val="20"/>
        </w:rPr>
        <w:t xml:space="preserve">: </w:t>
      </w:r>
    </w:p>
    <w:p w:rsidR="000E5239" w:rsidRPr="003A456E" w:rsidRDefault="000E5239" w:rsidP="000E5239">
      <w:pPr>
        <w:pStyle w:val="ListParagraph"/>
        <w:numPr>
          <w:ilvl w:val="2"/>
          <w:numId w:val="17"/>
        </w:numPr>
        <w:contextualSpacing/>
        <w:rPr>
          <w:rFonts w:asciiTheme="minorHAnsi" w:hAnsiTheme="minorHAnsi" w:cs="Arial"/>
          <w:sz w:val="20"/>
          <w:szCs w:val="20"/>
        </w:rPr>
      </w:pPr>
      <w:r>
        <w:rPr>
          <w:rFonts w:asciiTheme="minorHAnsi" w:hAnsiTheme="minorHAnsi" w:cs="Arial"/>
          <w:sz w:val="20"/>
          <w:szCs w:val="20"/>
        </w:rPr>
        <w:t xml:space="preserve">Check </w:t>
      </w:r>
      <w:r w:rsidRPr="003A456E">
        <w:rPr>
          <w:rFonts w:asciiTheme="minorHAnsi" w:hAnsiTheme="minorHAnsi" w:cs="Arial"/>
          <w:sz w:val="20"/>
          <w:szCs w:val="20"/>
        </w:rPr>
        <w:t>that systems are in place to identify all illegal armed groups and their affiliates in the conflict affected area, and establish systems to prevent payments, logistical assistance or equipment being provided to such Illegal Armed Groups or their affiliates. Further guidance for conflict-free due diligence for mining companies operating in conflict-affected areas can be found in the RJC Chain of Custody Guidance document, provision 4.2 Due Diligence</w:t>
      </w:r>
      <w:r>
        <w:rPr>
          <w:rFonts w:asciiTheme="minorHAnsi" w:hAnsiTheme="minorHAnsi" w:cs="Arial"/>
          <w:sz w:val="20"/>
          <w:szCs w:val="20"/>
        </w:rPr>
        <w:t>.</w:t>
      </w:r>
      <w:r w:rsidR="00CD4A9D">
        <w:rPr>
          <w:rFonts w:asciiTheme="minorHAnsi" w:hAnsiTheme="minorHAnsi" w:cs="Arial"/>
          <w:sz w:val="20"/>
          <w:szCs w:val="20"/>
        </w:rPr>
        <w:t xml:space="preserve">  Other types of businesses can adapt this guidance to suit their circumstances.  General</w:t>
      </w:r>
      <w:r w:rsidR="00CD4A9D" w:rsidRPr="00CD4A9D">
        <w:rPr>
          <w:rFonts w:asciiTheme="minorHAnsi" w:hAnsiTheme="minorHAnsi" w:cs="Arial"/>
          <w:sz w:val="20"/>
          <w:szCs w:val="20"/>
        </w:rPr>
        <w:t xml:space="preserve"> guidance for companies managing </w:t>
      </w:r>
      <w:r w:rsidR="00CD4A9D">
        <w:rPr>
          <w:rFonts w:asciiTheme="minorHAnsi" w:hAnsiTheme="minorHAnsi" w:cs="Arial"/>
          <w:sz w:val="20"/>
          <w:szCs w:val="20"/>
        </w:rPr>
        <w:t>conflict</w:t>
      </w:r>
      <w:r w:rsidR="00CD4A9D" w:rsidRPr="00CD4A9D">
        <w:rPr>
          <w:rFonts w:asciiTheme="minorHAnsi" w:hAnsiTheme="minorHAnsi" w:cs="Arial"/>
          <w:sz w:val="20"/>
          <w:szCs w:val="20"/>
        </w:rPr>
        <w:t xml:space="preserve"> risks can be found in the </w:t>
      </w:r>
      <w:r w:rsidR="00CD4A9D" w:rsidRPr="00CD4A9D">
        <w:rPr>
          <w:rFonts w:asciiTheme="minorHAnsi" w:hAnsiTheme="minorHAnsi" w:cs="Arial"/>
          <w:i/>
          <w:sz w:val="20"/>
          <w:szCs w:val="20"/>
        </w:rPr>
        <w:t>OECD Due Diligence Guidance for Responsible Supply Chains of Minerals from Conflict-Affected and High-Risk Areas.</w:t>
      </w:r>
    </w:p>
    <w:p w:rsidR="00214E71" w:rsidRDefault="007D1DF0" w:rsidP="000E5239">
      <w:pPr>
        <w:pStyle w:val="ListParagraph"/>
        <w:numPr>
          <w:ilvl w:val="2"/>
          <w:numId w:val="17"/>
        </w:numPr>
        <w:contextualSpacing/>
        <w:rPr>
          <w:rFonts w:asciiTheme="minorHAnsi" w:hAnsiTheme="minorHAnsi" w:cs="Arial"/>
          <w:sz w:val="20"/>
          <w:szCs w:val="20"/>
        </w:rPr>
      </w:pPr>
      <w:r w:rsidRPr="00C0619F">
        <w:rPr>
          <w:rFonts w:asciiTheme="minorHAnsi" w:hAnsiTheme="minorHAnsi" w:cs="Arial"/>
          <w:sz w:val="20"/>
          <w:szCs w:val="20"/>
        </w:rPr>
        <w:t>The level of detail in the due d</w:t>
      </w:r>
      <w:r w:rsidR="002273ED" w:rsidRPr="00C0619F">
        <w:rPr>
          <w:rFonts w:asciiTheme="minorHAnsi" w:hAnsiTheme="minorHAnsi" w:cs="Arial"/>
          <w:sz w:val="20"/>
          <w:szCs w:val="20"/>
        </w:rPr>
        <w:t xml:space="preserve">iligence should be commensurate with the level of risk that </w:t>
      </w:r>
      <w:r w:rsidR="000E5239">
        <w:rPr>
          <w:rFonts w:asciiTheme="minorHAnsi" w:hAnsiTheme="minorHAnsi" w:cs="Arial"/>
          <w:sz w:val="20"/>
          <w:szCs w:val="20"/>
        </w:rPr>
        <w:t>c</w:t>
      </w:r>
      <w:r w:rsidR="002273ED" w:rsidRPr="00C0619F">
        <w:rPr>
          <w:rFonts w:asciiTheme="minorHAnsi" w:hAnsiTheme="minorHAnsi" w:cs="Arial"/>
          <w:sz w:val="20"/>
          <w:szCs w:val="20"/>
        </w:rPr>
        <w:t xml:space="preserve">onflict could occur, based on current social or political conditions and/or proximity of operations to existing or recent </w:t>
      </w:r>
      <w:r w:rsidR="000E5239">
        <w:rPr>
          <w:rFonts w:asciiTheme="minorHAnsi" w:hAnsiTheme="minorHAnsi" w:cs="Arial"/>
          <w:sz w:val="20"/>
          <w:szCs w:val="20"/>
        </w:rPr>
        <w:t>c</w:t>
      </w:r>
      <w:r w:rsidR="002273ED" w:rsidRPr="00C0619F">
        <w:rPr>
          <w:rFonts w:asciiTheme="minorHAnsi" w:hAnsiTheme="minorHAnsi" w:cs="Arial"/>
          <w:sz w:val="20"/>
          <w:szCs w:val="20"/>
        </w:rPr>
        <w:t xml:space="preserve">onflict, and/or the complexity and nature of the company’s </w:t>
      </w:r>
      <w:r w:rsidR="00CD4A9D">
        <w:rPr>
          <w:rFonts w:asciiTheme="minorHAnsi" w:hAnsiTheme="minorHAnsi" w:cs="Arial"/>
          <w:sz w:val="20"/>
          <w:szCs w:val="20"/>
        </w:rPr>
        <w:t xml:space="preserve">local </w:t>
      </w:r>
      <w:r w:rsidR="002273ED" w:rsidRPr="00C0619F">
        <w:rPr>
          <w:rFonts w:asciiTheme="minorHAnsi" w:hAnsiTheme="minorHAnsi" w:cs="Arial"/>
          <w:sz w:val="20"/>
          <w:szCs w:val="20"/>
        </w:rPr>
        <w:t xml:space="preserve">suppliers. </w:t>
      </w:r>
    </w:p>
    <w:p w:rsidR="003A456E" w:rsidRPr="000E5239" w:rsidRDefault="000E5239" w:rsidP="000E5239">
      <w:pPr>
        <w:pStyle w:val="ListParagraph"/>
        <w:numPr>
          <w:ilvl w:val="1"/>
          <w:numId w:val="17"/>
        </w:numPr>
        <w:contextualSpacing/>
        <w:rPr>
          <w:rFonts w:asciiTheme="minorHAnsi" w:hAnsiTheme="minorHAnsi" w:cs="Arial"/>
          <w:sz w:val="20"/>
          <w:szCs w:val="20"/>
        </w:rPr>
      </w:pPr>
      <w:r>
        <w:rPr>
          <w:rFonts w:asciiTheme="minorHAnsi" w:hAnsiTheme="minorHAnsi" w:cs="Arial"/>
          <w:sz w:val="20"/>
          <w:szCs w:val="20"/>
        </w:rPr>
        <w:t>If</w:t>
      </w:r>
      <w:r w:rsidR="002273ED" w:rsidRPr="000E5239">
        <w:rPr>
          <w:rFonts w:asciiTheme="minorHAnsi" w:hAnsiTheme="minorHAnsi" w:cs="Arial"/>
          <w:sz w:val="20"/>
          <w:szCs w:val="20"/>
        </w:rPr>
        <w:t xml:space="preserve"> the business sources</w:t>
      </w:r>
      <w:r w:rsidR="007D1DF0" w:rsidRPr="000E5239">
        <w:rPr>
          <w:rFonts w:asciiTheme="minorHAnsi" w:hAnsiTheme="minorHAnsi" w:cs="Arial"/>
          <w:sz w:val="20"/>
          <w:szCs w:val="20"/>
        </w:rPr>
        <w:t xml:space="preserve"> </w:t>
      </w:r>
      <w:r w:rsidR="009F31E4" w:rsidRPr="000E5239">
        <w:rPr>
          <w:rFonts w:asciiTheme="minorHAnsi" w:hAnsiTheme="minorHAnsi" w:cs="Arial"/>
          <w:sz w:val="20"/>
          <w:szCs w:val="20"/>
        </w:rPr>
        <w:t>diamonds, gold or platinum group m</w:t>
      </w:r>
      <w:r w:rsidR="002273ED" w:rsidRPr="000E5239">
        <w:rPr>
          <w:rFonts w:asciiTheme="minorHAnsi" w:hAnsiTheme="minorHAnsi" w:cs="Arial"/>
          <w:sz w:val="20"/>
          <w:szCs w:val="20"/>
        </w:rPr>
        <w:t>etals directl</w:t>
      </w:r>
      <w:r w:rsidR="00012AA8" w:rsidRPr="000E5239">
        <w:rPr>
          <w:rFonts w:asciiTheme="minorHAnsi" w:hAnsiTheme="minorHAnsi" w:cs="Arial"/>
          <w:sz w:val="20"/>
          <w:szCs w:val="20"/>
        </w:rPr>
        <w:t>y from a conflict-affected a</w:t>
      </w:r>
      <w:r w:rsidR="002273ED" w:rsidRPr="000E5239">
        <w:rPr>
          <w:rFonts w:asciiTheme="minorHAnsi" w:hAnsiTheme="minorHAnsi" w:cs="Arial"/>
          <w:sz w:val="20"/>
          <w:szCs w:val="20"/>
        </w:rPr>
        <w:t>rea</w:t>
      </w:r>
      <w:r>
        <w:rPr>
          <w:rFonts w:asciiTheme="minorHAnsi" w:hAnsiTheme="minorHAnsi" w:cs="Arial"/>
          <w:sz w:val="20"/>
          <w:szCs w:val="20"/>
        </w:rPr>
        <w:t>:</w:t>
      </w:r>
      <w:r w:rsidR="009F31E4" w:rsidRPr="000E5239">
        <w:rPr>
          <w:rFonts w:asciiTheme="minorHAnsi" w:hAnsiTheme="minorHAnsi" w:cs="Arial"/>
          <w:sz w:val="20"/>
          <w:szCs w:val="20"/>
        </w:rPr>
        <w:t xml:space="preserve">  </w:t>
      </w:r>
    </w:p>
    <w:p w:rsidR="000E5239" w:rsidRDefault="009F31E4" w:rsidP="000E5239">
      <w:pPr>
        <w:pStyle w:val="ListParagraph"/>
        <w:numPr>
          <w:ilvl w:val="2"/>
          <w:numId w:val="17"/>
        </w:numPr>
        <w:contextualSpacing/>
        <w:rPr>
          <w:rFonts w:asciiTheme="minorHAnsi" w:hAnsiTheme="minorHAnsi" w:cs="Arial"/>
          <w:sz w:val="20"/>
          <w:szCs w:val="20"/>
        </w:rPr>
      </w:pPr>
      <w:r w:rsidRPr="003A456E">
        <w:rPr>
          <w:rFonts w:asciiTheme="minorHAnsi" w:hAnsiTheme="minorHAnsi" w:cs="Arial"/>
          <w:sz w:val="20"/>
          <w:szCs w:val="20"/>
        </w:rPr>
        <w:t>A direct source means a</w:t>
      </w:r>
      <w:r w:rsidR="007D1DF0" w:rsidRPr="003A456E">
        <w:rPr>
          <w:rFonts w:asciiTheme="minorHAnsi" w:hAnsiTheme="minorHAnsi" w:cs="Arial"/>
          <w:sz w:val="20"/>
          <w:szCs w:val="20"/>
        </w:rPr>
        <w:t xml:space="preserve"> supplier that engages </w:t>
      </w:r>
      <w:r w:rsidRPr="003A456E">
        <w:rPr>
          <w:rFonts w:asciiTheme="minorHAnsi" w:hAnsiTheme="minorHAnsi" w:cs="Arial"/>
          <w:sz w:val="20"/>
          <w:szCs w:val="20"/>
        </w:rPr>
        <w:t xml:space="preserve">directly </w:t>
      </w:r>
      <w:r w:rsidR="007D1DF0" w:rsidRPr="003A456E">
        <w:rPr>
          <w:rFonts w:asciiTheme="minorHAnsi" w:hAnsiTheme="minorHAnsi" w:cs="Arial"/>
          <w:sz w:val="20"/>
          <w:szCs w:val="20"/>
        </w:rPr>
        <w:t>with the Member</w:t>
      </w:r>
      <w:r w:rsidRPr="003A456E">
        <w:rPr>
          <w:rFonts w:asciiTheme="minorHAnsi" w:hAnsiTheme="minorHAnsi" w:cs="Arial"/>
          <w:sz w:val="20"/>
          <w:szCs w:val="20"/>
        </w:rPr>
        <w:t xml:space="preserve">, including </w:t>
      </w:r>
      <w:r w:rsidR="007D1DF0" w:rsidRPr="003A456E">
        <w:rPr>
          <w:rFonts w:asciiTheme="minorHAnsi" w:hAnsiTheme="minorHAnsi" w:cs="Arial"/>
          <w:sz w:val="20"/>
          <w:szCs w:val="20"/>
        </w:rPr>
        <w:t xml:space="preserve">entities that are affiliated with or under the control of the supplier. </w:t>
      </w:r>
    </w:p>
    <w:p w:rsidR="000E5239" w:rsidRDefault="000E5239" w:rsidP="000E5239">
      <w:pPr>
        <w:pStyle w:val="ListParagraph"/>
        <w:numPr>
          <w:ilvl w:val="2"/>
          <w:numId w:val="17"/>
        </w:numPr>
        <w:contextualSpacing/>
        <w:rPr>
          <w:rFonts w:asciiTheme="minorHAnsi" w:hAnsiTheme="minorHAnsi" w:cs="Arial"/>
          <w:sz w:val="20"/>
          <w:szCs w:val="20"/>
        </w:rPr>
      </w:pPr>
      <w:r>
        <w:rPr>
          <w:rFonts w:asciiTheme="minorHAnsi" w:hAnsiTheme="minorHAnsi" w:cs="Arial"/>
          <w:sz w:val="20"/>
          <w:szCs w:val="20"/>
        </w:rPr>
        <w:t>A</w:t>
      </w:r>
      <w:r w:rsidRPr="003A456E">
        <w:rPr>
          <w:rFonts w:asciiTheme="minorHAnsi" w:hAnsiTheme="minorHAnsi" w:cs="Arial"/>
          <w:sz w:val="20"/>
          <w:szCs w:val="20"/>
        </w:rPr>
        <w:t xml:space="preserve">ssess the risks of the supplier contributing to conflict, particularly the risk of direct or indirect assistance to illegal armed groups.  Determine whether the identified risks can be mitigated by continuing, suspending or terminating the relationship </w:t>
      </w:r>
      <w:r w:rsidRPr="003A456E">
        <w:rPr>
          <w:rFonts w:asciiTheme="minorHAnsi" w:hAnsiTheme="minorHAnsi" w:cs="Arial"/>
          <w:sz w:val="20"/>
          <w:szCs w:val="20"/>
        </w:rPr>
        <w:lastRenderedPageBreak/>
        <w:t xml:space="preserve">with the supplier/s. Further guidance for companies managing supply chain risks can be found in the </w:t>
      </w:r>
      <w:r w:rsidRPr="00CD4A9D">
        <w:rPr>
          <w:rFonts w:asciiTheme="minorHAnsi" w:hAnsiTheme="minorHAnsi" w:cs="Arial"/>
          <w:i/>
          <w:sz w:val="20"/>
          <w:szCs w:val="20"/>
        </w:rPr>
        <w:t>OECD Due Diligence Guidance for Responsible Supply Chains of Minerals from Conflict-Affected and High-Risk Areas.</w:t>
      </w:r>
    </w:p>
    <w:p w:rsidR="002273ED" w:rsidRPr="003A456E" w:rsidRDefault="007D1DF0" w:rsidP="000E5239">
      <w:pPr>
        <w:pStyle w:val="ListParagraph"/>
        <w:numPr>
          <w:ilvl w:val="2"/>
          <w:numId w:val="17"/>
        </w:numPr>
        <w:contextualSpacing/>
        <w:rPr>
          <w:rFonts w:asciiTheme="minorHAnsi" w:hAnsiTheme="minorHAnsi" w:cs="Arial"/>
          <w:sz w:val="20"/>
          <w:szCs w:val="20"/>
        </w:rPr>
      </w:pPr>
      <w:r w:rsidRPr="003A456E">
        <w:rPr>
          <w:rFonts w:asciiTheme="minorHAnsi" w:hAnsiTheme="minorHAnsi" w:cs="Arial"/>
          <w:sz w:val="20"/>
          <w:szCs w:val="20"/>
        </w:rPr>
        <w:t xml:space="preserve">The level of detail in the due diligence should be commensurate with the nature and complexity of the supplier base, and whether any supplier operates in an area that is proximate to existing or recent conflict. </w:t>
      </w:r>
    </w:p>
    <w:p w:rsidR="008947E9" w:rsidRPr="008947E9" w:rsidRDefault="008947E9" w:rsidP="004B632D">
      <w:pPr>
        <w:pStyle w:val="ListParagraph"/>
        <w:numPr>
          <w:ilvl w:val="1"/>
          <w:numId w:val="10"/>
        </w:numPr>
        <w:ind w:left="1080"/>
        <w:contextualSpacing/>
        <w:rPr>
          <w:rFonts w:asciiTheme="minorHAnsi" w:hAnsiTheme="minorHAnsi"/>
          <w:sz w:val="20"/>
          <w:szCs w:val="20"/>
        </w:rPr>
      </w:pPr>
      <w:r>
        <w:rPr>
          <w:rFonts w:asciiTheme="minorHAnsi" w:hAnsiTheme="minorHAnsi" w:cs="Arial"/>
          <w:sz w:val="20"/>
          <w:szCs w:val="20"/>
        </w:rPr>
        <w:t xml:space="preserve">Wherever possible, integrate </w:t>
      </w:r>
      <w:r w:rsidR="00783745">
        <w:rPr>
          <w:rFonts w:asciiTheme="minorHAnsi" w:hAnsiTheme="minorHAnsi" w:cs="Arial"/>
          <w:sz w:val="20"/>
          <w:szCs w:val="20"/>
        </w:rPr>
        <w:t xml:space="preserve">steps to address the identified risks </w:t>
      </w:r>
      <w:r>
        <w:rPr>
          <w:rFonts w:asciiTheme="minorHAnsi" w:hAnsiTheme="minorHAnsi" w:cs="Arial"/>
          <w:sz w:val="20"/>
          <w:szCs w:val="20"/>
        </w:rPr>
        <w:t>with implementation of other COP provisions</w:t>
      </w:r>
      <w:r w:rsidR="003A456E">
        <w:rPr>
          <w:rFonts w:asciiTheme="minorHAnsi" w:hAnsiTheme="minorHAnsi" w:cs="Arial"/>
          <w:sz w:val="20"/>
          <w:szCs w:val="20"/>
        </w:rPr>
        <w:t xml:space="preserve">:  </w:t>
      </w:r>
    </w:p>
    <w:p w:rsidR="00C0619F" w:rsidRPr="008947E9" w:rsidRDefault="00C0619F" w:rsidP="00C0619F">
      <w:pPr>
        <w:pStyle w:val="ListParagraph"/>
        <w:numPr>
          <w:ilvl w:val="1"/>
          <w:numId w:val="17"/>
        </w:numPr>
        <w:contextualSpacing/>
        <w:rPr>
          <w:rFonts w:asciiTheme="minorHAnsi" w:hAnsiTheme="minorHAnsi" w:cs="Arial"/>
          <w:sz w:val="20"/>
          <w:szCs w:val="20"/>
        </w:rPr>
      </w:pPr>
      <w:r w:rsidRPr="008947E9">
        <w:rPr>
          <w:rFonts w:asciiTheme="minorHAnsi" w:hAnsiTheme="minorHAnsi" w:cs="Arial"/>
          <w:sz w:val="20"/>
          <w:szCs w:val="20"/>
        </w:rPr>
        <w:t xml:space="preserve">Consider heightened risks of bribery and corruption in conflict-affected areas, and regularly review implementation of the policies and </w:t>
      </w:r>
      <w:r w:rsidR="00EF3D06">
        <w:rPr>
          <w:rFonts w:asciiTheme="minorHAnsi" w:hAnsiTheme="minorHAnsi" w:cs="Arial"/>
          <w:sz w:val="20"/>
          <w:szCs w:val="20"/>
        </w:rPr>
        <w:t>procedures developed under</w:t>
      </w:r>
      <w:r w:rsidRPr="008947E9">
        <w:rPr>
          <w:rFonts w:asciiTheme="minorHAnsi" w:hAnsiTheme="minorHAnsi" w:cs="Arial"/>
          <w:sz w:val="20"/>
          <w:szCs w:val="20"/>
        </w:rPr>
        <w:t xml:space="preserve"> </w:t>
      </w:r>
      <w:r w:rsidRPr="005A24D1">
        <w:rPr>
          <w:rFonts w:asciiTheme="minorHAnsi" w:hAnsiTheme="minorHAnsi" w:cs="Arial"/>
          <w:b/>
          <w:color w:val="31849B" w:themeColor="accent5" w:themeShade="BF"/>
          <w:sz w:val="20"/>
          <w:szCs w:val="20"/>
          <w:lang w:val="en-AU"/>
        </w:rPr>
        <w:t>Bribery and Facilitation Payments</w:t>
      </w:r>
      <w:r w:rsidRPr="008947E9">
        <w:rPr>
          <w:rFonts w:asciiTheme="minorHAnsi" w:hAnsiTheme="minorHAnsi" w:cs="Arial"/>
          <w:sz w:val="20"/>
          <w:szCs w:val="20"/>
        </w:rPr>
        <w:t>.</w:t>
      </w:r>
    </w:p>
    <w:p w:rsidR="00C0619F" w:rsidRDefault="00C0619F" w:rsidP="00C0619F">
      <w:pPr>
        <w:pStyle w:val="ListParagraph"/>
        <w:numPr>
          <w:ilvl w:val="1"/>
          <w:numId w:val="17"/>
        </w:numPr>
        <w:contextualSpacing/>
        <w:rPr>
          <w:rFonts w:asciiTheme="minorHAnsi" w:hAnsiTheme="minorHAnsi" w:cs="Arial"/>
          <w:sz w:val="20"/>
          <w:szCs w:val="20"/>
        </w:rPr>
      </w:pPr>
      <w:r w:rsidRPr="00C0619F">
        <w:rPr>
          <w:rFonts w:asciiTheme="minorHAnsi" w:hAnsiTheme="minorHAnsi" w:cs="Arial"/>
          <w:sz w:val="20"/>
          <w:szCs w:val="20"/>
        </w:rPr>
        <w:t>Consider heightened risks associated with use of security forces.  Members with Mining Facilities are required to conduct security risk assessments and ensure that security personnel receive training and operate in accordance with the Voluntary Principles on Securit</w:t>
      </w:r>
      <w:r w:rsidR="00EF3D06">
        <w:rPr>
          <w:rFonts w:asciiTheme="minorHAnsi" w:hAnsiTheme="minorHAnsi" w:cs="Arial"/>
          <w:sz w:val="20"/>
          <w:szCs w:val="20"/>
        </w:rPr>
        <w:t>y and Human Rights, under</w:t>
      </w:r>
      <w:r w:rsidRPr="00C0619F">
        <w:rPr>
          <w:rFonts w:asciiTheme="minorHAnsi" w:hAnsiTheme="minorHAnsi" w:cs="Arial"/>
          <w:sz w:val="20"/>
          <w:szCs w:val="20"/>
        </w:rPr>
        <w:t xml:space="preserve"> </w:t>
      </w:r>
      <w:r w:rsidRPr="005A24D1">
        <w:rPr>
          <w:rFonts w:asciiTheme="minorHAnsi" w:hAnsiTheme="minorHAnsi" w:cs="Arial"/>
          <w:b/>
          <w:color w:val="31849B" w:themeColor="accent5" w:themeShade="BF"/>
          <w:sz w:val="20"/>
          <w:szCs w:val="20"/>
          <w:lang w:val="en-AU"/>
        </w:rPr>
        <w:t>Security</w:t>
      </w:r>
      <w:r w:rsidRPr="00C0619F">
        <w:rPr>
          <w:rFonts w:asciiTheme="minorHAnsi" w:hAnsiTheme="minorHAnsi" w:cs="Arial"/>
          <w:sz w:val="20"/>
          <w:szCs w:val="20"/>
        </w:rPr>
        <w:t>.</w:t>
      </w:r>
    </w:p>
    <w:p w:rsidR="00783745" w:rsidRPr="00C0619F" w:rsidRDefault="00783745" w:rsidP="00C0619F">
      <w:pPr>
        <w:pStyle w:val="ListParagraph"/>
        <w:numPr>
          <w:ilvl w:val="1"/>
          <w:numId w:val="17"/>
        </w:numPr>
        <w:contextualSpacing/>
        <w:rPr>
          <w:rFonts w:asciiTheme="minorHAnsi" w:hAnsiTheme="minorHAnsi" w:cs="Arial"/>
          <w:sz w:val="20"/>
          <w:szCs w:val="20"/>
        </w:rPr>
      </w:pPr>
      <w:r>
        <w:rPr>
          <w:rFonts w:asciiTheme="minorHAnsi" w:hAnsiTheme="minorHAnsi" w:cs="Arial"/>
          <w:sz w:val="20"/>
          <w:szCs w:val="20"/>
        </w:rPr>
        <w:t xml:space="preserve">Consider how to promote responsible business practices to significant </w:t>
      </w:r>
      <w:r w:rsidRPr="00783745">
        <w:rPr>
          <w:rFonts w:asciiTheme="minorHAnsi" w:hAnsiTheme="minorHAnsi" w:cs="Arial"/>
          <w:b/>
          <w:color w:val="31849B" w:themeColor="accent5" w:themeShade="BF"/>
          <w:sz w:val="20"/>
          <w:szCs w:val="20"/>
          <w:lang w:val="en-AU"/>
        </w:rPr>
        <w:t>Business Partners</w:t>
      </w:r>
      <w:r>
        <w:rPr>
          <w:rFonts w:asciiTheme="minorHAnsi" w:hAnsiTheme="minorHAnsi" w:cs="Arial"/>
          <w:sz w:val="20"/>
          <w:szCs w:val="20"/>
        </w:rPr>
        <w:t>.</w:t>
      </w:r>
    </w:p>
    <w:p w:rsidR="004F3459" w:rsidRPr="008947E9" w:rsidRDefault="004F3459" w:rsidP="008947E9">
      <w:pPr>
        <w:pStyle w:val="ListParagraph"/>
        <w:numPr>
          <w:ilvl w:val="1"/>
          <w:numId w:val="17"/>
        </w:numPr>
        <w:contextualSpacing/>
        <w:rPr>
          <w:rFonts w:asciiTheme="minorHAnsi" w:hAnsiTheme="minorHAnsi" w:cs="Arial"/>
          <w:sz w:val="20"/>
          <w:szCs w:val="20"/>
        </w:rPr>
      </w:pPr>
      <w:r w:rsidRPr="008947E9">
        <w:rPr>
          <w:rFonts w:asciiTheme="minorHAnsi" w:hAnsiTheme="minorHAnsi" w:cs="Arial"/>
          <w:sz w:val="20"/>
          <w:szCs w:val="20"/>
        </w:rPr>
        <w:t xml:space="preserve">Members operating in, or sourcing from, a conflict-affected area should publicly report on their supply chain due diligence policies and practices.  This may be incorporated with </w:t>
      </w:r>
      <w:r w:rsidRPr="008947E9">
        <w:rPr>
          <w:rFonts w:asciiTheme="minorHAnsi" w:hAnsiTheme="minorHAnsi" w:cs="Arial"/>
          <w:b/>
          <w:color w:val="31849B" w:themeColor="accent5" w:themeShade="BF"/>
          <w:sz w:val="20"/>
          <w:szCs w:val="20"/>
          <w:lang w:val="en-AU"/>
        </w:rPr>
        <w:t>Reporting</w:t>
      </w:r>
      <w:r w:rsidR="003A456E" w:rsidRPr="008947E9">
        <w:rPr>
          <w:rFonts w:asciiTheme="minorHAnsi" w:hAnsiTheme="minorHAnsi" w:cs="Arial"/>
          <w:sz w:val="20"/>
          <w:szCs w:val="20"/>
        </w:rPr>
        <w:t>.</w:t>
      </w:r>
      <w:r w:rsidRPr="008947E9">
        <w:rPr>
          <w:rFonts w:asciiTheme="minorHAnsi" w:hAnsiTheme="minorHAnsi" w:cs="Arial"/>
          <w:sz w:val="20"/>
          <w:szCs w:val="20"/>
        </w:rPr>
        <w:t xml:space="preserve"> </w:t>
      </w:r>
    </w:p>
    <w:p w:rsidR="003870EE" w:rsidRDefault="00E51C01">
      <w:pPr>
        <w:rPr>
          <w:rFonts w:asciiTheme="minorHAnsi" w:hAnsiTheme="minorHAnsi"/>
        </w:rPr>
      </w:pPr>
      <w:r w:rsidRPr="00E51C01">
        <w:rPr>
          <w:rFonts w:asciiTheme="minorHAnsi" w:hAnsiTheme="minorHAnsi"/>
          <w:noProof/>
          <w:lang w:val="en-AU" w:eastAsia="en-AU"/>
        </w:rPr>
        <w:pict>
          <v:shapetype id="_x0000_t202" coordsize="21600,21600" o:spt="202" path="m,l,21600r21600,l21600,xe">
            <v:stroke joinstyle="miter"/>
            <v:path gradientshapeok="t" o:connecttype="rect"/>
          </v:shapetype>
          <v:shape id="_x0000_s1026" type="#_x0000_t202" style="position:absolute;margin-left:-6pt;margin-top:7.85pt;width:425.3pt;height:106.85pt;z-index:-251658752;mso-height-percent:200;mso-height-percent:200;mso-width-relative:margin;mso-height-relative:margin" wrapcoords="-98 -72 -98 21528 21698 21528 21698 -72 -98 -72" fillcolor="#fde9d9 [665]">
            <v:textbox style="mso-next-textbox:#_x0000_s1026;mso-fit-shape-to-text:t">
              <w:txbxContent>
                <w:p w:rsidR="00B10F06" w:rsidRDefault="00B10F06" w:rsidP="00B10F06">
                  <w:pPr>
                    <w:shd w:val="clear" w:color="auto" w:fill="FDE9D9" w:themeFill="accent6" w:themeFillTint="33"/>
                    <w:rPr>
                      <w:rFonts w:asciiTheme="minorHAnsi" w:hAnsiTheme="minorHAnsi" w:cs="Arial"/>
                      <w:b/>
                      <w:sz w:val="18"/>
                      <w:szCs w:val="20"/>
                      <w:lang w:val="en-US"/>
                    </w:rPr>
                  </w:pPr>
                  <w:r>
                    <w:rPr>
                      <w:rFonts w:asciiTheme="minorHAnsi" w:hAnsiTheme="minorHAnsi" w:cs="Arial"/>
                      <w:b/>
                      <w:sz w:val="18"/>
                      <w:szCs w:val="20"/>
                      <w:lang w:val="en-US"/>
                    </w:rPr>
                    <w:t>Check:</w:t>
                  </w:r>
                </w:p>
                <w:p w:rsidR="00CD4A9D" w:rsidRDefault="00CD4A9D" w:rsidP="00B10F06">
                  <w:pPr>
                    <w:pStyle w:val="ListParagraph"/>
                    <w:numPr>
                      <w:ilvl w:val="0"/>
                      <w:numId w:val="15"/>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Do you know whether or not you operate in</w:t>
                  </w:r>
                  <w:r w:rsidR="005D285C">
                    <w:rPr>
                      <w:rFonts w:asciiTheme="minorHAnsi" w:hAnsiTheme="minorHAnsi" w:cs="Arial"/>
                      <w:sz w:val="18"/>
                      <w:szCs w:val="20"/>
                      <w:lang w:val="en-US"/>
                    </w:rPr>
                    <w:t>,</w:t>
                  </w:r>
                  <w:r>
                    <w:rPr>
                      <w:rFonts w:asciiTheme="minorHAnsi" w:hAnsiTheme="minorHAnsi" w:cs="Arial"/>
                      <w:sz w:val="18"/>
                      <w:szCs w:val="20"/>
                      <w:lang w:val="en-US"/>
                    </w:rPr>
                    <w:t xml:space="preserve"> or </w:t>
                  </w:r>
                  <w:r w:rsidR="0033539A">
                    <w:rPr>
                      <w:rFonts w:asciiTheme="minorHAnsi" w:hAnsiTheme="minorHAnsi" w:cs="Arial"/>
                      <w:sz w:val="18"/>
                      <w:szCs w:val="20"/>
                      <w:lang w:val="en-US"/>
                    </w:rPr>
                    <w:t xml:space="preserve">directly </w:t>
                  </w:r>
                  <w:r>
                    <w:rPr>
                      <w:rFonts w:asciiTheme="minorHAnsi" w:hAnsiTheme="minorHAnsi" w:cs="Arial"/>
                      <w:sz w:val="18"/>
                      <w:szCs w:val="20"/>
                      <w:lang w:val="en-US"/>
                    </w:rPr>
                    <w:t>source from</w:t>
                  </w:r>
                  <w:r w:rsidR="005D285C">
                    <w:rPr>
                      <w:rFonts w:asciiTheme="minorHAnsi" w:hAnsiTheme="minorHAnsi" w:cs="Arial"/>
                      <w:sz w:val="18"/>
                      <w:szCs w:val="20"/>
                      <w:lang w:val="en-US"/>
                    </w:rPr>
                    <w:t>,</w:t>
                  </w:r>
                  <w:r>
                    <w:rPr>
                      <w:rFonts w:asciiTheme="minorHAnsi" w:hAnsiTheme="minorHAnsi" w:cs="Arial"/>
                      <w:sz w:val="18"/>
                      <w:szCs w:val="20"/>
                      <w:lang w:val="en-US"/>
                    </w:rPr>
                    <w:t xml:space="preserve"> conflict-affected areas?</w:t>
                  </w:r>
                </w:p>
                <w:p w:rsidR="00B10F06" w:rsidRDefault="00B10F06" w:rsidP="00B10F06">
                  <w:pPr>
                    <w:pStyle w:val="ListParagraph"/>
                    <w:numPr>
                      <w:ilvl w:val="0"/>
                      <w:numId w:val="15"/>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 xml:space="preserve">Can you show the auditor </w:t>
                  </w:r>
                  <w:r w:rsidR="00CD4A9D">
                    <w:rPr>
                      <w:rFonts w:asciiTheme="minorHAnsi" w:hAnsiTheme="minorHAnsi" w:cs="Arial"/>
                      <w:sz w:val="18"/>
                      <w:szCs w:val="20"/>
                      <w:lang w:val="en-US"/>
                    </w:rPr>
                    <w:t xml:space="preserve">how you have reviewed heightened risks of adverse human rights impacts for </w:t>
                  </w:r>
                  <w:r w:rsidR="005D285C">
                    <w:rPr>
                      <w:rFonts w:asciiTheme="minorHAnsi" w:hAnsiTheme="minorHAnsi" w:cs="Arial"/>
                      <w:sz w:val="18"/>
                      <w:szCs w:val="20"/>
                      <w:lang w:val="en-US"/>
                    </w:rPr>
                    <w:t xml:space="preserve">those </w:t>
                  </w:r>
                  <w:r w:rsidR="00CD4A9D">
                    <w:rPr>
                      <w:rFonts w:asciiTheme="minorHAnsi" w:hAnsiTheme="minorHAnsi" w:cs="Arial"/>
                      <w:sz w:val="18"/>
                      <w:szCs w:val="20"/>
                      <w:lang w:val="en-US"/>
                    </w:rPr>
                    <w:t xml:space="preserve">operations or suppliers in conflict-affected areas?  </w:t>
                  </w:r>
                  <w:r w:rsidR="005D285C">
                    <w:rPr>
                      <w:rFonts w:asciiTheme="minorHAnsi" w:hAnsiTheme="minorHAnsi" w:cs="Arial"/>
                      <w:sz w:val="18"/>
                      <w:szCs w:val="20"/>
                      <w:lang w:val="en-US"/>
                    </w:rPr>
                    <w:t>Some kind of</w:t>
                  </w:r>
                  <w:r w:rsidR="00CD4A9D">
                    <w:rPr>
                      <w:rFonts w:asciiTheme="minorHAnsi" w:hAnsiTheme="minorHAnsi" w:cs="Arial"/>
                      <w:sz w:val="18"/>
                      <w:szCs w:val="20"/>
                      <w:lang w:val="en-US"/>
                    </w:rPr>
                    <w:t xml:space="preserve"> documented risk assessment or due diligence process will be required</w:t>
                  </w:r>
                  <w:r w:rsidR="005D285C">
                    <w:rPr>
                      <w:rFonts w:asciiTheme="minorHAnsi" w:hAnsiTheme="minorHAnsi" w:cs="Arial"/>
                      <w:sz w:val="18"/>
                      <w:szCs w:val="20"/>
                      <w:lang w:val="en-US"/>
                    </w:rPr>
                    <w:t xml:space="preserve"> </w:t>
                  </w:r>
                  <w:r w:rsidR="00CD4A9D">
                    <w:rPr>
                      <w:rFonts w:asciiTheme="minorHAnsi" w:hAnsiTheme="minorHAnsi" w:cs="Arial"/>
                      <w:sz w:val="18"/>
                      <w:szCs w:val="20"/>
                      <w:lang w:val="en-US"/>
                    </w:rPr>
                    <w:t>– this can be stand-alone or integrated in other Code of Practices assessments, for example Business Partners and/or Human Rights.</w:t>
                  </w:r>
                </w:p>
                <w:p w:rsidR="00CD4A9D" w:rsidRPr="00CD4A9D" w:rsidRDefault="00CD4A9D" w:rsidP="00CD4A9D">
                  <w:pPr>
                    <w:pStyle w:val="ListParagraph"/>
                    <w:numPr>
                      <w:ilvl w:val="0"/>
                      <w:numId w:val="15"/>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 xml:space="preserve">Are you </w:t>
                  </w:r>
                  <w:r w:rsidR="00B11C9A">
                    <w:rPr>
                      <w:rFonts w:asciiTheme="minorHAnsi" w:hAnsiTheme="minorHAnsi" w:cs="Arial"/>
                      <w:sz w:val="18"/>
                      <w:szCs w:val="20"/>
                      <w:lang w:val="en-US"/>
                    </w:rPr>
                    <w:t xml:space="preserve">also </w:t>
                  </w:r>
                  <w:r>
                    <w:rPr>
                      <w:rFonts w:asciiTheme="minorHAnsi" w:hAnsiTheme="minorHAnsi" w:cs="Arial"/>
                      <w:sz w:val="18"/>
                      <w:szCs w:val="20"/>
                      <w:lang w:val="en-US"/>
                    </w:rPr>
                    <w:t>documenting</w:t>
                  </w:r>
                  <w:r w:rsidR="00783745">
                    <w:rPr>
                      <w:rFonts w:asciiTheme="minorHAnsi" w:hAnsiTheme="minorHAnsi" w:cs="Arial"/>
                      <w:sz w:val="18"/>
                      <w:szCs w:val="20"/>
                      <w:lang w:val="en-US"/>
                    </w:rPr>
                    <w:t>, and where appropriate communicating,</w:t>
                  </w:r>
                  <w:r>
                    <w:rPr>
                      <w:rFonts w:asciiTheme="minorHAnsi" w:hAnsiTheme="minorHAnsi" w:cs="Arial"/>
                      <w:sz w:val="18"/>
                      <w:szCs w:val="20"/>
                      <w:lang w:val="en-US"/>
                    </w:rPr>
                    <w:t xml:space="preserve"> what steps you are taking to avoid contributing to conflict?</w:t>
                  </w:r>
                  <w:r w:rsidR="00B11C9A">
                    <w:rPr>
                      <w:rFonts w:asciiTheme="minorHAnsi" w:hAnsiTheme="minorHAnsi" w:cs="Arial"/>
                      <w:sz w:val="18"/>
                      <w:szCs w:val="20"/>
                      <w:lang w:val="en-US"/>
                    </w:rPr>
                    <w:t xml:space="preserve">  This could be related to other Code of Practices provisions, such as Security, Business Partners and Bribery and Facilitation Payments.</w:t>
                  </w:r>
                </w:p>
              </w:txbxContent>
            </v:textbox>
            <w10:wrap type="tight"/>
          </v:shape>
        </w:pict>
      </w:r>
    </w:p>
    <w:p w:rsidR="00B10F06" w:rsidRDefault="00B10F06">
      <w:pPr>
        <w:rPr>
          <w:rFonts w:asciiTheme="minorHAnsi" w:hAnsiTheme="minorHAnsi"/>
        </w:rPr>
      </w:pPr>
    </w:p>
    <w:p w:rsidR="00B10F06" w:rsidRDefault="00B10F06">
      <w:pPr>
        <w:rPr>
          <w:rFonts w:asciiTheme="minorHAnsi" w:hAnsiTheme="minorHAnsi"/>
        </w:rPr>
      </w:pPr>
    </w:p>
    <w:p w:rsidR="00B10F06" w:rsidRDefault="00B10F06">
      <w:pPr>
        <w:rPr>
          <w:rFonts w:asciiTheme="minorHAnsi" w:hAnsiTheme="minorHAnsi"/>
        </w:rPr>
      </w:pPr>
    </w:p>
    <w:p w:rsidR="004B632D" w:rsidRPr="001F391B" w:rsidRDefault="004B632D">
      <w:pPr>
        <w:rPr>
          <w:rFonts w:asciiTheme="minorHAnsi" w:hAnsiTheme="minorHAnsi"/>
        </w:rPr>
      </w:pPr>
    </w:p>
    <w:p w:rsidR="005E5B7B" w:rsidRDefault="005E5B7B">
      <w:pPr>
        <w:rPr>
          <w:rFonts w:asciiTheme="minorHAnsi" w:hAnsiTheme="minorHAnsi"/>
        </w:rPr>
      </w:pPr>
    </w:p>
    <w:p w:rsidR="00CD4A9D" w:rsidRDefault="00CD4A9D">
      <w:pPr>
        <w:rPr>
          <w:rFonts w:asciiTheme="minorHAnsi" w:hAnsiTheme="minorHAnsi"/>
        </w:rPr>
      </w:pPr>
    </w:p>
    <w:p w:rsidR="00B11C9A" w:rsidRDefault="00B11C9A">
      <w:pPr>
        <w:rPr>
          <w:rFonts w:asciiTheme="minorHAnsi" w:hAnsiTheme="minorHAnsi"/>
        </w:rPr>
      </w:pPr>
    </w:p>
    <w:p w:rsidR="00B11C9A" w:rsidRPr="001F391B" w:rsidRDefault="00B11C9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B11C9A" w:rsidRPr="001F391B" w:rsidTr="00040DB8">
        <w:tc>
          <w:tcPr>
            <w:tcW w:w="8522" w:type="dxa"/>
            <w:shd w:val="clear" w:color="auto" w:fill="CCC0D9" w:themeFill="accent4" w:themeFillTint="66"/>
          </w:tcPr>
          <w:p w:rsidR="005E5B7B" w:rsidRPr="001F391B" w:rsidRDefault="005E5B7B" w:rsidP="005E5B7B">
            <w:pPr>
              <w:numPr>
                <w:ilvl w:val="0"/>
                <w:numId w:val="2"/>
              </w:numPr>
              <w:rPr>
                <w:rFonts w:asciiTheme="minorHAnsi" w:hAnsiTheme="minorHAnsi" w:cs="Arial"/>
                <w:b/>
              </w:rPr>
            </w:pPr>
            <w:r w:rsidRPr="001F391B">
              <w:rPr>
                <w:rFonts w:asciiTheme="minorHAnsi" w:hAnsiTheme="minorHAnsi" w:cs="Arial"/>
                <w:b/>
              </w:rPr>
              <w:t>Further information</w:t>
            </w:r>
          </w:p>
        </w:tc>
      </w:tr>
    </w:tbl>
    <w:p w:rsidR="005E5B7B" w:rsidRPr="001F391B" w:rsidRDefault="005E5B7B" w:rsidP="005E5B7B">
      <w:pPr>
        <w:rPr>
          <w:rFonts w:asciiTheme="minorHAnsi" w:hAnsiTheme="minorHAnsi" w:cs="Arial"/>
          <w:b/>
          <w:sz w:val="20"/>
          <w:szCs w:val="20"/>
        </w:rPr>
      </w:pPr>
    </w:p>
    <w:p w:rsidR="005E5B7B" w:rsidRPr="001F391B" w:rsidRDefault="005E5B7B" w:rsidP="005E5B7B">
      <w:pPr>
        <w:pStyle w:val="BodySingle"/>
        <w:rPr>
          <w:rFonts w:cs="Arial"/>
          <w:sz w:val="20"/>
          <w:szCs w:val="20"/>
          <w:lang w:val="en-US"/>
        </w:rPr>
      </w:pPr>
      <w:r w:rsidRPr="001F391B">
        <w:rPr>
          <w:rFonts w:cs="Arial"/>
          <w:sz w:val="20"/>
          <w:szCs w:val="20"/>
          <w:lang w:val="en-US"/>
        </w:rPr>
        <w:t xml:space="preserve">The following websites have further information on conflict-affected areas: </w:t>
      </w:r>
    </w:p>
    <w:p w:rsidR="0053604F" w:rsidRDefault="0053604F" w:rsidP="00611563">
      <w:pPr>
        <w:pStyle w:val="BodySingle"/>
        <w:numPr>
          <w:ilvl w:val="0"/>
          <w:numId w:val="3"/>
        </w:numPr>
        <w:spacing w:after="0"/>
        <w:rPr>
          <w:rFonts w:cs="Arial"/>
          <w:sz w:val="20"/>
          <w:szCs w:val="20"/>
          <w:lang w:val="en-US"/>
        </w:rPr>
      </w:pPr>
      <w:r>
        <w:rPr>
          <w:rFonts w:cs="Arial"/>
          <w:sz w:val="20"/>
          <w:szCs w:val="20"/>
          <w:lang w:val="en-US"/>
        </w:rPr>
        <w:t>Geneva Academy</w:t>
      </w:r>
    </w:p>
    <w:p w:rsidR="0053604F" w:rsidRPr="0053604F" w:rsidRDefault="00E51C01" w:rsidP="00E113C7">
      <w:pPr>
        <w:pStyle w:val="BodySingle"/>
        <w:spacing w:after="0"/>
        <w:ind w:left="720"/>
        <w:rPr>
          <w:rFonts w:cs="Arial"/>
          <w:sz w:val="20"/>
          <w:szCs w:val="20"/>
          <w:lang w:val="en-US"/>
        </w:rPr>
      </w:pPr>
      <w:hyperlink r:id="rId8" w:history="1">
        <w:r w:rsidR="0053604F" w:rsidRPr="0053604F">
          <w:rPr>
            <w:rStyle w:val="Hyperlink"/>
            <w:rFonts w:cs="Arial"/>
            <w:bCs/>
            <w:sz w:val="20"/>
            <w:szCs w:val="20"/>
          </w:rPr>
          <w:t>www.geneva-academy.ch</w:t>
        </w:r>
      </w:hyperlink>
    </w:p>
    <w:p w:rsidR="00611563" w:rsidRPr="0053604F" w:rsidRDefault="00611563" w:rsidP="00611563">
      <w:pPr>
        <w:pStyle w:val="BodySingle"/>
        <w:numPr>
          <w:ilvl w:val="0"/>
          <w:numId w:val="3"/>
        </w:numPr>
        <w:spacing w:after="0"/>
        <w:rPr>
          <w:rFonts w:cs="Arial"/>
          <w:sz w:val="20"/>
          <w:szCs w:val="20"/>
          <w:lang w:val="en-US"/>
        </w:rPr>
      </w:pPr>
      <w:r w:rsidRPr="0053604F">
        <w:rPr>
          <w:rFonts w:cs="Arial"/>
          <w:sz w:val="20"/>
          <w:szCs w:val="20"/>
          <w:lang w:val="en-US"/>
        </w:rPr>
        <w:t>Heidelberg Institute for International Conflict Research</w:t>
      </w:r>
    </w:p>
    <w:p w:rsidR="00611563" w:rsidRPr="001F391B" w:rsidRDefault="00E51C01" w:rsidP="00611563">
      <w:pPr>
        <w:pStyle w:val="BodySingle"/>
        <w:spacing w:after="0"/>
        <w:ind w:left="720"/>
        <w:rPr>
          <w:rFonts w:cs="Arial"/>
          <w:sz w:val="20"/>
          <w:szCs w:val="20"/>
        </w:rPr>
      </w:pPr>
      <w:hyperlink r:id="rId9" w:history="1">
        <w:r w:rsidR="00611563" w:rsidRPr="001F391B">
          <w:rPr>
            <w:rStyle w:val="Hyperlink"/>
            <w:rFonts w:cs="Arial"/>
            <w:sz w:val="20"/>
            <w:szCs w:val="20"/>
          </w:rPr>
          <w:t>www.hiik.de/en/</w:t>
        </w:r>
      </w:hyperlink>
    </w:p>
    <w:p w:rsidR="00611563" w:rsidRPr="001F391B" w:rsidRDefault="00611563" w:rsidP="00611563">
      <w:pPr>
        <w:pStyle w:val="BodySingle"/>
        <w:numPr>
          <w:ilvl w:val="0"/>
          <w:numId w:val="3"/>
        </w:numPr>
        <w:spacing w:after="0"/>
        <w:rPr>
          <w:rFonts w:cs="Arial"/>
          <w:sz w:val="20"/>
          <w:szCs w:val="20"/>
        </w:rPr>
      </w:pPr>
      <w:r w:rsidRPr="001F391B">
        <w:rPr>
          <w:rFonts w:cs="Arial"/>
          <w:sz w:val="20"/>
          <w:szCs w:val="20"/>
        </w:rPr>
        <w:t>International Alert</w:t>
      </w:r>
    </w:p>
    <w:p w:rsidR="00611563" w:rsidRDefault="00E51C01" w:rsidP="00611563">
      <w:pPr>
        <w:pStyle w:val="BodySingle"/>
        <w:spacing w:after="0"/>
        <w:ind w:left="720"/>
      </w:pPr>
      <w:hyperlink r:id="rId10" w:history="1">
        <w:r w:rsidR="00611563" w:rsidRPr="001F391B">
          <w:rPr>
            <w:rStyle w:val="Hyperlink"/>
            <w:rFonts w:cs="Arial"/>
            <w:sz w:val="20"/>
            <w:szCs w:val="20"/>
          </w:rPr>
          <w:t>www.international-alert.org/</w:t>
        </w:r>
      </w:hyperlink>
    </w:p>
    <w:p w:rsidR="00EF3D06" w:rsidRPr="00EF3D06" w:rsidRDefault="00EF3D06" w:rsidP="00EF3D06">
      <w:pPr>
        <w:numPr>
          <w:ilvl w:val="0"/>
          <w:numId w:val="7"/>
        </w:numPr>
        <w:rPr>
          <w:rFonts w:asciiTheme="minorHAnsi" w:hAnsiTheme="minorHAnsi" w:cs="Arial"/>
          <w:iCs/>
          <w:sz w:val="20"/>
          <w:szCs w:val="20"/>
        </w:rPr>
      </w:pPr>
      <w:r w:rsidRPr="00EF3D06">
        <w:rPr>
          <w:rFonts w:cs="Calibri"/>
          <w:iCs/>
          <w:sz w:val="20"/>
          <w:szCs w:val="20"/>
        </w:rPr>
        <w:t>International Alert, Conflict-Sensitive Business Practice: Guidance for Extractive Industries (2005)</w:t>
      </w:r>
    </w:p>
    <w:p w:rsidR="00EF3D06" w:rsidRPr="001F391B" w:rsidRDefault="00E51C01" w:rsidP="00EF3D06">
      <w:pPr>
        <w:ind w:left="720"/>
        <w:rPr>
          <w:rFonts w:cs="Arial"/>
          <w:sz w:val="20"/>
          <w:szCs w:val="20"/>
        </w:rPr>
      </w:pPr>
      <w:hyperlink r:id="rId11" w:history="1">
        <w:r w:rsidR="00EF3D06" w:rsidRPr="00EF3D06">
          <w:rPr>
            <w:rStyle w:val="Hyperlink"/>
            <w:rFonts w:asciiTheme="minorHAnsi" w:hAnsiTheme="minorHAnsi" w:cs="Arial"/>
            <w:iCs/>
            <w:sz w:val="20"/>
            <w:szCs w:val="20"/>
          </w:rPr>
          <w:t>www.international-alert.org/resources/publications/conflict-sensitive-business-practice-guidance-extractive-industries</w:t>
        </w:r>
      </w:hyperlink>
    </w:p>
    <w:p w:rsidR="00611563" w:rsidRPr="001F391B" w:rsidRDefault="00611563" w:rsidP="00611563">
      <w:pPr>
        <w:pStyle w:val="BodySingle"/>
        <w:numPr>
          <w:ilvl w:val="0"/>
          <w:numId w:val="3"/>
        </w:numPr>
        <w:spacing w:after="0"/>
        <w:rPr>
          <w:rFonts w:cs="Arial"/>
          <w:sz w:val="20"/>
          <w:szCs w:val="20"/>
        </w:rPr>
      </w:pPr>
      <w:r w:rsidRPr="001F391B">
        <w:rPr>
          <w:rFonts w:cs="Arial"/>
          <w:sz w:val="20"/>
          <w:szCs w:val="20"/>
        </w:rPr>
        <w:t>International Crisis Group</w:t>
      </w:r>
    </w:p>
    <w:p w:rsidR="00611563" w:rsidRPr="001F391B" w:rsidRDefault="00E51C01" w:rsidP="00611563">
      <w:pPr>
        <w:pStyle w:val="BodySingle"/>
        <w:spacing w:after="0"/>
        <w:ind w:left="720"/>
        <w:rPr>
          <w:rFonts w:cs="Arial"/>
          <w:sz w:val="20"/>
          <w:szCs w:val="20"/>
        </w:rPr>
      </w:pPr>
      <w:hyperlink r:id="rId12" w:history="1">
        <w:r w:rsidR="00611563" w:rsidRPr="001F391B">
          <w:rPr>
            <w:rStyle w:val="Hyperlink"/>
            <w:rFonts w:cs="Arial"/>
            <w:sz w:val="20"/>
            <w:szCs w:val="20"/>
          </w:rPr>
          <w:t>www.crisisgroup.org/</w:t>
        </w:r>
      </w:hyperlink>
    </w:p>
    <w:p w:rsidR="00D93D2C" w:rsidRDefault="00D93D2C" w:rsidP="008264D6">
      <w:pPr>
        <w:numPr>
          <w:ilvl w:val="0"/>
          <w:numId w:val="4"/>
        </w:numPr>
        <w:rPr>
          <w:rFonts w:asciiTheme="minorHAnsi" w:hAnsiTheme="minorHAnsi" w:cs="Arial"/>
          <w:sz w:val="20"/>
          <w:szCs w:val="20"/>
        </w:rPr>
      </w:pPr>
      <w:r>
        <w:rPr>
          <w:rFonts w:asciiTheme="minorHAnsi" w:hAnsiTheme="minorHAnsi" w:cs="Arial"/>
          <w:sz w:val="20"/>
          <w:szCs w:val="20"/>
        </w:rPr>
        <w:t>International Crisis Group – Crisis Watch Monthly Bulletin</w:t>
      </w:r>
    </w:p>
    <w:p w:rsidR="00D93D2C" w:rsidRDefault="00E51C01" w:rsidP="00E113C7">
      <w:pPr>
        <w:ind w:left="720"/>
        <w:rPr>
          <w:rFonts w:asciiTheme="minorHAnsi" w:hAnsiTheme="minorHAnsi" w:cs="Arial"/>
          <w:sz w:val="20"/>
          <w:szCs w:val="20"/>
        </w:rPr>
      </w:pPr>
      <w:hyperlink r:id="rId13" w:history="1">
        <w:r w:rsidR="00E113C7" w:rsidRPr="00477379">
          <w:rPr>
            <w:rStyle w:val="Hyperlink"/>
            <w:rFonts w:asciiTheme="minorHAnsi" w:hAnsiTheme="minorHAnsi" w:cs="Arial"/>
            <w:sz w:val="20"/>
            <w:szCs w:val="20"/>
          </w:rPr>
          <w:t>www.crisisgroup.org/en/publication-type/crisiswatch.aspx</w:t>
        </w:r>
      </w:hyperlink>
    </w:p>
    <w:p w:rsidR="008264D6" w:rsidRPr="001F391B" w:rsidRDefault="008264D6" w:rsidP="008264D6">
      <w:pPr>
        <w:numPr>
          <w:ilvl w:val="0"/>
          <w:numId w:val="4"/>
        </w:numPr>
        <w:rPr>
          <w:rFonts w:asciiTheme="minorHAnsi" w:hAnsiTheme="minorHAnsi" w:cs="Arial"/>
          <w:sz w:val="20"/>
          <w:szCs w:val="20"/>
        </w:rPr>
      </w:pPr>
      <w:r w:rsidRPr="001F391B">
        <w:rPr>
          <w:rFonts w:asciiTheme="minorHAnsi" w:hAnsiTheme="minorHAnsi" w:cs="Arial"/>
          <w:sz w:val="20"/>
          <w:szCs w:val="20"/>
        </w:rPr>
        <w:t>OECD Due Diligence Guidance on the Responsible Supply Chains of Minerals from Conflict-Affected and High-Risk Areas, Second Edition (2012)</w:t>
      </w:r>
    </w:p>
    <w:p w:rsidR="008264D6" w:rsidRPr="001F391B" w:rsidRDefault="00E51C01" w:rsidP="008264D6">
      <w:pPr>
        <w:pStyle w:val="ListParagraph"/>
        <w:rPr>
          <w:rFonts w:asciiTheme="minorHAnsi" w:hAnsiTheme="minorHAnsi" w:cs="Arial"/>
          <w:sz w:val="20"/>
          <w:szCs w:val="20"/>
        </w:rPr>
      </w:pPr>
      <w:hyperlink r:id="rId14" w:history="1">
        <w:r w:rsidR="008264D6" w:rsidRPr="001F391B">
          <w:rPr>
            <w:rStyle w:val="Hyperlink"/>
            <w:rFonts w:asciiTheme="minorHAnsi" w:hAnsiTheme="minorHAnsi" w:cs="Arial"/>
            <w:sz w:val="20"/>
            <w:szCs w:val="20"/>
          </w:rPr>
          <w:t>www.oecd.org/fr/daf/inv/mne/mining.htm</w:t>
        </w:r>
      </w:hyperlink>
      <w:r w:rsidR="008264D6" w:rsidRPr="001F391B">
        <w:rPr>
          <w:rFonts w:asciiTheme="minorHAnsi" w:hAnsiTheme="minorHAnsi" w:cs="Arial"/>
          <w:sz w:val="20"/>
          <w:szCs w:val="20"/>
        </w:rPr>
        <w:t xml:space="preserve"> </w:t>
      </w:r>
    </w:p>
    <w:p w:rsidR="008264D6" w:rsidRPr="001F391B" w:rsidRDefault="008264D6" w:rsidP="008264D6">
      <w:pPr>
        <w:numPr>
          <w:ilvl w:val="0"/>
          <w:numId w:val="4"/>
        </w:numPr>
        <w:rPr>
          <w:rFonts w:asciiTheme="minorHAnsi" w:hAnsiTheme="minorHAnsi" w:cs="Arial"/>
          <w:sz w:val="20"/>
          <w:szCs w:val="20"/>
        </w:rPr>
      </w:pPr>
      <w:r w:rsidRPr="001F391B">
        <w:rPr>
          <w:rFonts w:asciiTheme="minorHAnsi" w:hAnsiTheme="minorHAnsi" w:cs="Arial"/>
          <w:sz w:val="20"/>
          <w:szCs w:val="20"/>
        </w:rPr>
        <w:t xml:space="preserve">Schulte Roth &amp; </w:t>
      </w:r>
      <w:proofErr w:type="spellStart"/>
      <w:r w:rsidRPr="001F391B">
        <w:rPr>
          <w:rFonts w:asciiTheme="minorHAnsi" w:hAnsiTheme="minorHAnsi" w:cs="Arial"/>
          <w:sz w:val="20"/>
          <w:szCs w:val="20"/>
        </w:rPr>
        <w:t>Zabel</w:t>
      </w:r>
      <w:proofErr w:type="spellEnd"/>
      <w:r w:rsidRPr="001F391B">
        <w:rPr>
          <w:rFonts w:asciiTheme="minorHAnsi" w:hAnsiTheme="minorHAnsi" w:cs="Arial"/>
          <w:sz w:val="20"/>
          <w:szCs w:val="20"/>
        </w:rPr>
        <w:t xml:space="preserve"> - Conflict Minerals Resource </w:t>
      </w:r>
      <w:proofErr w:type="spellStart"/>
      <w:r w:rsidRPr="001F391B">
        <w:rPr>
          <w:rFonts w:asciiTheme="minorHAnsi" w:hAnsiTheme="minorHAnsi" w:cs="Arial"/>
          <w:sz w:val="20"/>
          <w:szCs w:val="20"/>
        </w:rPr>
        <w:t>Center</w:t>
      </w:r>
      <w:proofErr w:type="spellEnd"/>
    </w:p>
    <w:p w:rsidR="008264D6" w:rsidRPr="001F391B" w:rsidRDefault="00E51C01" w:rsidP="008264D6">
      <w:pPr>
        <w:ind w:left="720"/>
        <w:rPr>
          <w:rFonts w:asciiTheme="minorHAnsi" w:hAnsiTheme="minorHAnsi" w:cs="Arial"/>
          <w:sz w:val="20"/>
          <w:szCs w:val="20"/>
        </w:rPr>
      </w:pPr>
      <w:hyperlink r:id="rId15" w:history="1">
        <w:r w:rsidR="00761C82" w:rsidRPr="00205151">
          <w:rPr>
            <w:rStyle w:val="Hyperlink"/>
            <w:rFonts w:asciiTheme="minorHAnsi" w:hAnsiTheme="minorHAnsi" w:cs="Arial"/>
            <w:sz w:val="20"/>
            <w:szCs w:val="20"/>
          </w:rPr>
          <w:t>www.srz.com/conflict_minerals_resource_center/</w:t>
        </w:r>
      </w:hyperlink>
    </w:p>
    <w:p w:rsidR="00611563" w:rsidRPr="001F391B" w:rsidRDefault="00611563" w:rsidP="008264D6">
      <w:pPr>
        <w:pStyle w:val="BodySingle"/>
        <w:numPr>
          <w:ilvl w:val="0"/>
          <w:numId w:val="3"/>
        </w:numPr>
        <w:spacing w:after="0"/>
        <w:rPr>
          <w:rFonts w:cs="Arial"/>
          <w:sz w:val="20"/>
          <w:szCs w:val="20"/>
          <w:lang w:val="en-US"/>
        </w:rPr>
      </w:pPr>
      <w:r w:rsidRPr="001F391B">
        <w:rPr>
          <w:rFonts w:cs="Arial"/>
          <w:sz w:val="20"/>
          <w:szCs w:val="20"/>
          <w:lang w:val="en-US"/>
        </w:rPr>
        <w:t>Uppsala University – Uppsala Conflict Data Program</w:t>
      </w:r>
    </w:p>
    <w:p w:rsidR="00611563" w:rsidRPr="001F391B" w:rsidRDefault="00E51C01" w:rsidP="00611563">
      <w:pPr>
        <w:pStyle w:val="BodySingle"/>
        <w:spacing w:after="0"/>
        <w:ind w:left="720"/>
        <w:rPr>
          <w:rFonts w:cs="Arial"/>
          <w:sz w:val="20"/>
          <w:szCs w:val="20"/>
          <w:lang w:val="en-US"/>
        </w:rPr>
      </w:pPr>
      <w:hyperlink r:id="rId16" w:history="1">
        <w:r w:rsidR="00611563" w:rsidRPr="001F391B">
          <w:rPr>
            <w:rStyle w:val="Hyperlink"/>
            <w:rFonts w:cs="Arial"/>
            <w:sz w:val="20"/>
            <w:szCs w:val="20"/>
            <w:lang w:val="en-US"/>
          </w:rPr>
          <w:t>www.pcr.uu.se/research/UCDP/</w:t>
        </w:r>
      </w:hyperlink>
    </w:p>
    <w:p w:rsidR="00E17AEB" w:rsidRDefault="00E17AEB" w:rsidP="008264D6">
      <w:pPr>
        <w:pStyle w:val="BodySingle"/>
        <w:numPr>
          <w:ilvl w:val="0"/>
          <w:numId w:val="3"/>
        </w:numPr>
        <w:spacing w:after="0"/>
        <w:rPr>
          <w:rFonts w:cs="Arial"/>
          <w:sz w:val="20"/>
          <w:szCs w:val="20"/>
          <w:lang w:val="en-US"/>
        </w:rPr>
      </w:pPr>
      <w:r>
        <w:rPr>
          <w:rFonts w:cs="Arial"/>
          <w:sz w:val="20"/>
          <w:szCs w:val="20"/>
          <w:lang w:val="en-US"/>
        </w:rPr>
        <w:t>United Nations (UN) Guiding Principles on Business and Human Rights</w:t>
      </w:r>
    </w:p>
    <w:p w:rsidR="00E17AEB" w:rsidRDefault="00E51C01" w:rsidP="00E17AEB">
      <w:pPr>
        <w:pStyle w:val="BodySingle"/>
        <w:spacing w:after="0"/>
        <w:ind w:left="720"/>
        <w:rPr>
          <w:rFonts w:cs="Arial"/>
          <w:sz w:val="20"/>
          <w:szCs w:val="20"/>
          <w:lang w:val="en-US"/>
        </w:rPr>
      </w:pPr>
      <w:hyperlink r:id="rId17" w:history="1">
        <w:r w:rsidR="00E17AEB" w:rsidRPr="00205151">
          <w:rPr>
            <w:rStyle w:val="Hyperlink"/>
            <w:rFonts w:cs="Arial"/>
            <w:sz w:val="20"/>
            <w:szCs w:val="20"/>
          </w:rPr>
          <w:t>www.ohchr.org/Documents/Publications/GuidingPrinciplesBusinessHR_EN.pdf</w:t>
        </w:r>
      </w:hyperlink>
    </w:p>
    <w:p w:rsidR="008264D6" w:rsidRPr="001F391B" w:rsidRDefault="008264D6" w:rsidP="008264D6">
      <w:pPr>
        <w:pStyle w:val="BodySingle"/>
        <w:numPr>
          <w:ilvl w:val="0"/>
          <w:numId w:val="3"/>
        </w:numPr>
        <w:spacing w:after="0"/>
        <w:rPr>
          <w:rFonts w:cs="Arial"/>
          <w:sz w:val="20"/>
          <w:szCs w:val="20"/>
          <w:lang w:val="en-US"/>
        </w:rPr>
      </w:pPr>
      <w:r w:rsidRPr="001F391B">
        <w:rPr>
          <w:rFonts w:cs="Arial"/>
          <w:sz w:val="20"/>
          <w:szCs w:val="20"/>
          <w:lang w:val="en-US"/>
        </w:rPr>
        <w:t xml:space="preserve">United Nations (UN) Peacekeeping Operations </w:t>
      </w:r>
    </w:p>
    <w:p w:rsidR="008264D6" w:rsidRPr="001F391B" w:rsidRDefault="00E51C01" w:rsidP="008264D6">
      <w:pPr>
        <w:pStyle w:val="BodySingle"/>
        <w:spacing w:after="0"/>
        <w:ind w:left="720"/>
        <w:rPr>
          <w:rFonts w:cs="Arial"/>
          <w:sz w:val="20"/>
          <w:szCs w:val="20"/>
          <w:lang w:val="en-US"/>
        </w:rPr>
      </w:pPr>
      <w:hyperlink r:id="rId18" w:history="1">
        <w:r w:rsidR="008264D6" w:rsidRPr="001F391B">
          <w:rPr>
            <w:rStyle w:val="Hyperlink"/>
            <w:rFonts w:cs="Arial"/>
            <w:sz w:val="20"/>
            <w:szCs w:val="20"/>
            <w:lang w:val="en-US"/>
          </w:rPr>
          <w:t>www.un.org/en/peacekeeping/operations/current.shtml</w:t>
        </w:r>
      </w:hyperlink>
    </w:p>
    <w:p w:rsidR="008264D6" w:rsidRPr="001F391B" w:rsidRDefault="008264D6" w:rsidP="008264D6">
      <w:pPr>
        <w:pStyle w:val="BodySingle"/>
        <w:numPr>
          <w:ilvl w:val="0"/>
          <w:numId w:val="3"/>
        </w:numPr>
        <w:spacing w:after="0"/>
        <w:rPr>
          <w:rFonts w:cs="Arial"/>
          <w:sz w:val="20"/>
          <w:szCs w:val="20"/>
          <w:lang w:val="en-US"/>
        </w:rPr>
      </w:pPr>
      <w:r w:rsidRPr="001F391B">
        <w:rPr>
          <w:rFonts w:cs="Arial"/>
          <w:sz w:val="20"/>
          <w:szCs w:val="20"/>
          <w:lang w:val="en-US"/>
        </w:rPr>
        <w:t>United Nations (UN) Security Council Resolutions</w:t>
      </w:r>
    </w:p>
    <w:p w:rsidR="008264D6" w:rsidRPr="001F391B" w:rsidRDefault="00E51C01" w:rsidP="008264D6">
      <w:pPr>
        <w:pStyle w:val="BodySingle"/>
        <w:spacing w:after="0"/>
        <w:ind w:left="720"/>
        <w:rPr>
          <w:rFonts w:cs="Arial"/>
          <w:sz w:val="20"/>
          <w:szCs w:val="20"/>
          <w:lang w:val="en-US"/>
        </w:rPr>
      </w:pPr>
      <w:hyperlink r:id="rId19" w:history="1">
        <w:r w:rsidR="008264D6" w:rsidRPr="001F391B">
          <w:rPr>
            <w:rStyle w:val="Hyperlink"/>
            <w:rFonts w:cs="Arial"/>
            <w:sz w:val="20"/>
            <w:szCs w:val="20"/>
            <w:lang w:val="en-US"/>
          </w:rPr>
          <w:t>www.un.org/en/sc/documents/resolutions/index.shtml</w:t>
        </w:r>
      </w:hyperlink>
    </w:p>
    <w:p w:rsidR="008264D6" w:rsidRPr="001F391B" w:rsidRDefault="008264D6" w:rsidP="008264D6">
      <w:pPr>
        <w:pStyle w:val="BodySingle"/>
        <w:numPr>
          <w:ilvl w:val="0"/>
          <w:numId w:val="3"/>
        </w:numPr>
        <w:spacing w:after="0"/>
        <w:rPr>
          <w:rFonts w:cs="Arial"/>
          <w:sz w:val="20"/>
          <w:szCs w:val="20"/>
          <w:lang w:val="en-US"/>
        </w:rPr>
      </w:pPr>
      <w:r w:rsidRPr="001F391B">
        <w:rPr>
          <w:rFonts w:cs="Arial"/>
          <w:sz w:val="20"/>
          <w:szCs w:val="20"/>
          <w:lang w:val="en-US"/>
        </w:rPr>
        <w:t>U.S. Department of State – Human Rights Reports</w:t>
      </w:r>
    </w:p>
    <w:p w:rsidR="008264D6" w:rsidRPr="001F391B" w:rsidRDefault="00E51C01" w:rsidP="008264D6">
      <w:pPr>
        <w:pStyle w:val="BodySingle"/>
        <w:spacing w:after="0"/>
        <w:ind w:left="720"/>
        <w:rPr>
          <w:rFonts w:cs="Arial"/>
          <w:sz w:val="20"/>
          <w:szCs w:val="20"/>
          <w:lang w:val="en-US"/>
        </w:rPr>
      </w:pPr>
      <w:hyperlink r:id="rId20" w:history="1">
        <w:r w:rsidR="008264D6" w:rsidRPr="001F391B">
          <w:rPr>
            <w:rStyle w:val="Hyperlink"/>
            <w:rFonts w:cs="Arial"/>
            <w:sz w:val="20"/>
            <w:szCs w:val="20"/>
            <w:lang w:val="en-US"/>
          </w:rPr>
          <w:t>www.state.gov/j/drl/rls/hrrpt/</w:t>
        </w:r>
      </w:hyperlink>
    </w:p>
    <w:p w:rsidR="008264D6" w:rsidRPr="001F391B" w:rsidRDefault="008264D6" w:rsidP="008264D6">
      <w:pPr>
        <w:pStyle w:val="ListParagraph"/>
        <w:numPr>
          <w:ilvl w:val="0"/>
          <w:numId w:val="5"/>
        </w:numPr>
        <w:rPr>
          <w:rFonts w:asciiTheme="minorHAnsi" w:hAnsiTheme="minorHAnsi" w:cs="Arial"/>
          <w:sz w:val="20"/>
          <w:szCs w:val="20"/>
        </w:rPr>
      </w:pPr>
      <w:r w:rsidRPr="001F391B">
        <w:rPr>
          <w:rFonts w:asciiTheme="minorHAnsi" w:hAnsiTheme="minorHAnsi" w:cs="Arial"/>
          <w:sz w:val="20"/>
          <w:szCs w:val="20"/>
        </w:rPr>
        <w:t>U.S. Securities and Exchange Commission (SEC) Rule for Disclosing Use of Conflict Minerals - Dodd-Frank Wall Street Reform and Consumer Protection Act (2012)</w:t>
      </w:r>
    </w:p>
    <w:p w:rsidR="008264D6" w:rsidRPr="001F391B" w:rsidRDefault="00E51C01" w:rsidP="008264D6">
      <w:pPr>
        <w:ind w:left="720"/>
        <w:rPr>
          <w:rFonts w:asciiTheme="minorHAnsi" w:hAnsiTheme="minorHAnsi" w:cs="Arial"/>
          <w:sz w:val="20"/>
          <w:szCs w:val="20"/>
        </w:rPr>
      </w:pPr>
      <w:hyperlink r:id="rId21" w:history="1">
        <w:r w:rsidR="008264D6" w:rsidRPr="001F391B">
          <w:rPr>
            <w:rStyle w:val="Hyperlink"/>
            <w:rFonts w:asciiTheme="minorHAnsi" w:hAnsiTheme="minorHAnsi" w:cs="Arial"/>
            <w:sz w:val="20"/>
            <w:szCs w:val="20"/>
          </w:rPr>
          <w:t>www.sec.gov/news/press/2012/2012-163.htm</w:t>
        </w:r>
      </w:hyperlink>
      <w:r w:rsidR="008264D6" w:rsidRPr="001F391B">
        <w:rPr>
          <w:rFonts w:asciiTheme="minorHAnsi" w:hAnsiTheme="minorHAnsi" w:cs="Arial"/>
          <w:sz w:val="20"/>
          <w:szCs w:val="20"/>
        </w:rPr>
        <w:t xml:space="preserve"> </w:t>
      </w:r>
    </w:p>
    <w:p w:rsidR="008264D6" w:rsidRDefault="008264D6" w:rsidP="008264D6">
      <w:pPr>
        <w:pStyle w:val="BodySingle"/>
        <w:spacing w:after="0"/>
        <w:ind w:left="720"/>
        <w:rPr>
          <w:rFonts w:cs="Arial"/>
          <w:sz w:val="20"/>
          <w:szCs w:val="20"/>
          <w:lang w:val="en-US"/>
        </w:rPr>
      </w:pPr>
    </w:p>
    <w:p w:rsidR="008264D6" w:rsidRDefault="008264D6" w:rsidP="008264D6">
      <w:pPr>
        <w:pStyle w:val="BodySingle"/>
        <w:spacing w:after="0"/>
        <w:ind w:left="720"/>
        <w:rPr>
          <w:rFonts w:cs="Arial"/>
          <w:sz w:val="20"/>
          <w:szCs w:val="20"/>
          <w:lang w:val="en-US"/>
        </w:rPr>
      </w:pPr>
    </w:p>
    <w:p w:rsidR="00611563" w:rsidRDefault="00611563" w:rsidP="00611563">
      <w:pPr>
        <w:pStyle w:val="BodySingle"/>
        <w:spacing w:after="0"/>
        <w:ind w:left="720"/>
        <w:rPr>
          <w:rFonts w:cs="Arial"/>
          <w:sz w:val="20"/>
          <w:szCs w:val="20"/>
          <w:lang w:val="en-US"/>
        </w:rPr>
      </w:pPr>
    </w:p>
    <w:p w:rsidR="00611563" w:rsidRDefault="00611563" w:rsidP="00611563">
      <w:pPr>
        <w:pStyle w:val="BodySingle"/>
        <w:spacing w:after="0"/>
        <w:ind w:left="720"/>
        <w:rPr>
          <w:rFonts w:cs="Arial"/>
          <w:sz w:val="20"/>
          <w:szCs w:val="20"/>
          <w:lang w:val="en-US"/>
        </w:rPr>
      </w:pPr>
    </w:p>
    <w:p w:rsidR="00611563" w:rsidRDefault="00611563" w:rsidP="00CF5AC4">
      <w:pPr>
        <w:pStyle w:val="BodySingle"/>
        <w:spacing w:after="0"/>
        <w:rPr>
          <w:rFonts w:cs="Arial"/>
          <w:sz w:val="20"/>
          <w:szCs w:val="20"/>
          <w:lang w:val="en-US"/>
        </w:rPr>
      </w:pPr>
    </w:p>
    <w:p w:rsidR="005E5B7B" w:rsidRPr="00F12FBF" w:rsidRDefault="005E5B7B" w:rsidP="005E5B7B">
      <w:pPr>
        <w:pStyle w:val="BodySingle"/>
        <w:rPr>
          <w:rFonts w:cs="Arial"/>
          <w:sz w:val="20"/>
          <w:szCs w:val="20"/>
          <w:lang w:val="en-US"/>
        </w:rPr>
      </w:pPr>
    </w:p>
    <w:p w:rsidR="005E5B7B" w:rsidRDefault="005E5B7B"/>
    <w:sectPr w:rsidR="005E5B7B" w:rsidSect="002D03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CE6"/>
    <w:multiLevelType w:val="hybridMultilevel"/>
    <w:tmpl w:val="B04CFD4E"/>
    <w:lvl w:ilvl="0" w:tplc="5E02F200">
      <w:start w:val="1"/>
      <w:numFmt w:val="bullet"/>
      <w:lvlText w:val=""/>
      <w:lvlJc w:val="left"/>
      <w:pPr>
        <w:tabs>
          <w:tab w:val="num" w:pos="720"/>
        </w:tabs>
        <w:ind w:left="720" w:hanging="360"/>
      </w:pPr>
      <w:rPr>
        <w:rFonts w:ascii="Wingdings 2" w:hAnsi="Wingdings 2" w:hint="default"/>
      </w:rPr>
    </w:lvl>
    <w:lvl w:ilvl="1" w:tplc="A88A2F16" w:tentative="1">
      <w:start w:val="1"/>
      <w:numFmt w:val="bullet"/>
      <w:lvlText w:val=""/>
      <w:lvlJc w:val="left"/>
      <w:pPr>
        <w:tabs>
          <w:tab w:val="num" w:pos="1440"/>
        </w:tabs>
        <w:ind w:left="1440" w:hanging="360"/>
      </w:pPr>
      <w:rPr>
        <w:rFonts w:ascii="Wingdings 2" w:hAnsi="Wingdings 2" w:hint="default"/>
      </w:rPr>
    </w:lvl>
    <w:lvl w:ilvl="2" w:tplc="DE26E466" w:tentative="1">
      <w:start w:val="1"/>
      <w:numFmt w:val="bullet"/>
      <w:lvlText w:val=""/>
      <w:lvlJc w:val="left"/>
      <w:pPr>
        <w:tabs>
          <w:tab w:val="num" w:pos="2160"/>
        </w:tabs>
        <w:ind w:left="2160" w:hanging="360"/>
      </w:pPr>
      <w:rPr>
        <w:rFonts w:ascii="Wingdings 2" w:hAnsi="Wingdings 2" w:hint="default"/>
      </w:rPr>
    </w:lvl>
    <w:lvl w:ilvl="3" w:tplc="A0A0CCFA" w:tentative="1">
      <w:start w:val="1"/>
      <w:numFmt w:val="bullet"/>
      <w:lvlText w:val=""/>
      <w:lvlJc w:val="left"/>
      <w:pPr>
        <w:tabs>
          <w:tab w:val="num" w:pos="2880"/>
        </w:tabs>
        <w:ind w:left="2880" w:hanging="360"/>
      </w:pPr>
      <w:rPr>
        <w:rFonts w:ascii="Wingdings 2" w:hAnsi="Wingdings 2" w:hint="default"/>
      </w:rPr>
    </w:lvl>
    <w:lvl w:ilvl="4" w:tplc="42B0B10E" w:tentative="1">
      <w:start w:val="1"/>
      <w:numFmt w:val="bullet"/>
      <w:lvlText w:val=""/>
      <w:lvlJc w:val="left"/>
      <w:pPr>
        <w:tabs>
          <w:tab w:val="num" w:pos="3600"/>
        </w:tabs>
        <w:ind w:left="3600" w:hanging="360"/>
      </w:pPr>
      <w:rPr>
        <w:rFonts w:ascii="Wingdings 2" w:hAnsi="Wingdings 2" w:hint="default"/>
      </w:rPr>
    </w:lvl>
    <w:lvl w:ilvl="5" w:tplc="0638D596" w:tentative="1">
      <w:start w:val="1"/>
      <w:numFmt w:val="bullet"/>
      <w:lvlText w:val=""/>
      <w:lvlJc w:val="left"/>
      <w:pPr>
        <w:tabs>
          <w:tab w:val="num" w:pos="4320"/>
        </w:tabs>
        <w:ind w:left="4320" w:hanging="360"/>
      </w:pPr>
      <w:rPr>
        <w:rFonts w:ascii="Wingdings 2" w:hAnsi="Wingdings 2" w:hint="default"/>
      </w:rPr>
    </w:lvl>
    <w:lvl w:ilvl="6" w:tplc="9698DAF6" w:tentative="1">
      <w:start w:val="1"/>
      <w:numFmt w:val="bullet"/>
      <w:lvlText w:val=""/>
      <w:lvlJc w:val="left"/>
      <w:pPr>
        <w:tabs>
          <w:tab w:val="num" w:pos="5040"/>
        </w:tabs>
        <w:ind w:left="5040" w:hanging="360"/>
      </w:pPr>
      <w:rPr>
        <w:rFonts w:ascii="Wingdings 2" w:hAnsi="Wingdings 2" w:hint="default"/>
      </w:rPr>
    </w:lvl>
    <w:lvl w:ilvl="7" w:tplc="BED8FA4A" w:tentative="1">
      <w:start w:val="1"/>
      <w:numFmt w:val="bullet"/>
      <w:lvlText w:val=""/>
      <w:lvlJc w:val="left"/>
      <w:pPr>
        <w:tabs>
          <w:tab w:val="num" w:pos="5760"/>
        </w:tabs>
        <w:ind w:left="5760" w:hanging="360"/>
      </w:pPr>
      <w:rPr>
        <w:rFonts w:ascii="Wingdings 2" w:hAnsi="Wingdings 2" w:hint="default"/>
      </w:rPr>
    </w:lvl>
    <w:lvl w:ilvl="8" w:tplc="6D62A192" w:tentative="1">
      <w:start w:val="1"/>
      <w:numFmt w:val="bullet"/>
      <w:lvlText w:val=""/>
      <w:lvlJc w:val="left"/>
      <w:pPr>
        <w:tabs>
          <w:tab w:val="num" w:pos="6480"/>
        </w:tabs>
        <w:ind w:left="6480" w:hanging="360"/>
      </w:pPr>
      <w:rPr>
        <w:rFonts w:ascii="Wingdings 2" w:hAnsi="Wingdings 2" w:hint="default"/>
      </w:rPr>
    </w:lvl>
  </w:abstractNum>
  <w:abstractNum w:abstractNumId="1">
    <w:nsid w:val="09EF4627"/>
    <w:multiLevelType w:val="hybridMultilevel"/>
    <w:tmpl w:val="F6A0233C"/>
    <w:lvl w:ilvl="0" w:tplc="FD16BB48">
      <w:start w:val="1"/>
      <w:numFmt w:val="bullet"/>
      <w:lvlText w:val=""/>
      <w:lvlJc w:val="left"/>
      <w:pPr>
        <w:tabs>
          <w:tab w:val="num" w:pos="720"/>
        </w:tabs>
        <w:ind w:left="720" w:hanging="360"/>
      </w:pPr>
      <w:rPr>
        <w:rFonts w:ascii="Wingdings 2" w:hAnsi="Wingdings 2" w:hint="default"/>
      </w:rPr>
    </w:lvl>
    <w:lvl w:ilvl="1" w:tplc="37840BF6" w:tentative="1">
      <w:start w:val="1"/>
      <w:numFmt w:val="bullet"/>
      <w:lvlText w:val=""/>
      <w:lvlJc w:val="left"/>
      <w:pPr>
        <w:tabs>
          <w:tab w:val="num" w:pos="1440"/>
        </w:tabs>
        <w:ind w:left="1440" w:hanging="360"/>
      </w:pPr>
      <w:rPr>
        <w:rFonts w:ascii="Wingdings 2" w:hAnsi="Wingdings 2" w:hint="default"/>
      </w:rPr>
    </w:lvl>
    <w:lvl w:ilvl="2" w:tplc="3584688A" w:tentative="1">
      <w:start w:val="1"/>
      <w:numFmt w:val="bullet"/>
      <w:lvlText w:val=""/>
      <w:lvlJc w:val="left"/>
      <w:pPr>
        <w:tabs>
          <w:tab w:val="num" w:pos="2160"/>
        </w:tabs>
        <w:ind w:left="2160" w:hanging="360"/>
      </w:pPr>
      <w:rPr>
        <w:rFonts w:ascii="Wingdings 2" w:hAnsi="Wingdings 2" w:hint="default"/>
      </w:rPr>
    </w:lvl>
    <w:lvl w:ilvl="3" w:tplc="DB62B922" w:tentative="1">
      <w:start w:val="1"/>
      <w:numFmt w:val="bullet"/>
      <w:lvlText w:val=""/>
      <w:lvlJc w:val="left"/>
      <w:pPr>
        <w:tabs>
          <w:tab w:val="num" w:pos="2880"/>
        </w:tabs>
        <w:ind w:left="2880" w:hanging="360"/>
      </w:pPr>
      <w:rPr>
        <w:rFonts w:ascii="Wingdings 2" w:hAnsi="Wingdings 2" w:hint="default"/>
      </w:rPr>
    </w:lvl>
    <w:lvl w:ilvl="4" w:tplc="DEDEA252" w:tentative="1">
      <w:start w:val="1"/>
      <w:numFmt w:val="bullet"/>
      <w:lvlText w:val=""/>
      <w:lvlJc w:val="left"/>
      <w:pPr>
        <w:tabs>
          <w:tab w:val="num" w:pos="3600"/>
        </w:tabs>
        <w:ind w:left="3600" w:hanging="360"/>
      </w:pPr>
      <w:rPr>
        <w:rFonts w:ascii="Wingdings 2" w:hAnsi="Wingdings 2" w:hint="default"/>
      </w:rPr>
    </w:lvl>
    <w:lvl w:ilvl="5" w:tplc="99526F5A" w:tentative="1">
      <w:start w:val="1"/>
      <w:numFmt w:val="bullet"/>
      <w:lvlText w:val=""/>
      <w:lvlJc w:val="left"/>
      <w:pPr>
        <w:tabs>
          <w:tab w:val="num" w:pos="4320"/>
        </w:tabs>
        <w:ind w:left="4320" w:hanging="360"/>
      </w:pPr>
      <w:rPr>
        <w:rFonts w:ascii="Wingdings 2" w:hAnsi="Wingdings 2" w:hint="default"/>
      </w:rPr>
    </w:lvl>
    <w:lvl w:ilvl="6" w:tplc="3D2C528E" w:tentative="1">
      <w:start w:val="1"/>
      <w:numFmt w:val="bullet"/>
      <w:lvlText w:val=""/>
      <w:lvlJc w:val="left"/>
      <w:pPr>
        <w:tabs>
          <w:tab w:val="num" w:pos="5040"/>
        </w:tabs>
        <w:ind w:left="5040" w:hanging="360"/>
      </w:pPr>
      <w:rPr>
        <w:rFonts w:ascii="Wingdings 2" w:hAnsi="Wingdings 2" w:hint="default"/>
      </w:rPr>
    </w:lvl>
    <w:lvl w:ilvl="7" w:tplc="909891F2" w:tentative="1">
      <w:start w:val="1"/>
      <w:numFmt w:val="bullet"/>
      <w:lvlText w:val=""/>
      <w:lvlJc w:val="left"/>
      <w:pPr>
        <w:tabs>
          <w:tab w:val="num" w:pos="5760"/>
        </w:tabs>
        <w:ind w:left="5760" w:hanging="360"/>
      </w:pPr>
      <w:rPr>
        <w:rFonts w:ascii="Wingdings 2" w:hAnsi="Wingdings 2" w:hint="default"/>
      </w:rPr>
    </w:lvl>
    <w:lvl w:ilvl="8" w:tplc="79ECE730" w:tentative="1">
      <w:start w:val="1"/>
      <w:numFmt w:val="bullet"/>
      <w:lvlText w:val=""/>
      <w:lvlJc w:val="left"/>
      <w:pPr>
        <w:tabs>
          <w:tab w:val="num" w:pos="6480"/>
        </w:tabs>
        <w:ind w:left="6480" w:hanging="360"/>
      </w:pPr>
      <w:rPr>
        <w:rFonts w:ascii="Wingdings 2" w:hAnsi="Wingdings 2" w:hint="default"/>
      </w:rPr>
    </w:lvl>
  </w:abstractNum>
  <w:abstractNum w:abstractNumId="2">
    <w:nsid w:val="0B0447DF"/>
    <w:multiLevelType w:val="hybridMultilevel"/>
    <w:tmpl w:val="D17278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110934"/>
    <w:multiLevelType w:val="hybridMultilevel"/>
    <w:tmpl w:val="F544DD2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0130C"/>
    <w:multiLevelType w:val="hybridMultilevel"/>
    <w:tmpl w:val="0F7206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23AF0"/>
    <w:multiLevelType w:val="hybridMultilevel"/>
    <w:tmpl w:val="712074D6"/>
    <w:lvl w:ilvl="0" w:tplc="8F4CE758">
      <w:start w:val="1"/>
      <w:numFmt w:val="bullet"/>
      <w:lvlText w:val=""/>
      <w:lvlJc w:val="left"/>
      <w:pPr>
        <w:tabs>
          <w:tab w:val="num" w:pos="720"/>
        </w:tabs>
        <w:ind w:left="720" w:hanging="360"/>
      </w:pPr>
      <w:rPr>
        <w:rFonts w:ascii="Wingdings 2" w:hAnsi="Wingdings 2" w:hint="default"/>
      </w:rPr>
    </w:lvl>
    <w:lvl w:ilvl="1" w:tplc="B1849B56" w:tentative="1">
      <w:start w:val="1"/>
      <w:numFmt w:val="bullet"/>
      <w:lvlText w:val=""/>
      <w:lvlJc w:val="left"/>
      <w:pPr>
        <w:tabs>
          <w:tab w:val="num" w:pos="1440"/>
        </w:tabs>
        <w:ind w:left="1440" w:hanging="360"/>
      </w:pPr>
      <w:rPr>
        <w:rFonts w:ascii="Wingdings 2" w:hAnsi="Wingdings 2" w:hint="default"/>
      </w:rPr>
    </w:lvl>
    <w:lvl w:ilvl="2" w:tplc="D35AC37C" w:tentative="1">
      <w:start w:val="1"/>
      <w:numFmt w:val="bullet"/>
      <w:lvlText w:val=""/>
      <w:lvlJc w:val="left"/>
      <w:pPr>
        <w:tabs>
          <w:tab w:val="num" w:pos="2160"/>
        </w:tabs>
        <w:ind w:left="2160" w:hanging="360"/>
      </w:pPr>
      <w:rPr>
        <w:rFonts w:ascii="Wingdings 2" w:hAnsi="Wingdings 2" w:hint="default"/>
      </w:rPr>
    </w:lvl>
    <w:lvl w:ilvl="3" w:tplc="0DBE75C4" w:tentative="1">
      <w:start w:val="1"/>
      <w:numFmt w:val="bullet"/>
      <w:lvlText w:val=""/>
      <w:lvlJc w:val="left"/>
      <w:pPr>
        <w:tabs>
          <w:tab w:val="num" w:pos="2880"/>
        </w:tabs>
        <w:ind w:left="2880" w:hanging="360"/>
      </w:pPr>
      <w:rPr>
        <w:rFonts w:ascii="Wingdings 2" w:hAnsi="Wingdings 2" w:hint="default"/>
      </w:rPr>
    </w:lvl>
    <w:lvl w:ilvl="4" w:tplc="51A46BA0" w:tentative="1">
      <w:start w:val="1"/>
      <w:numFmt w:val="bullet"/>
      <w:lvlText w:val=""/>
      <w:lvlJc w:val="left"/>
      <w:pPr>
        <w:tabs>
          <w:tab w:val="num" w:pos="3600"/>
        </w:tabs>
        <w:ind w:left="3600" w:hanging="360"/>
      </w:pPr>
      <w:rPr>
        <w:rFonts w:ascii="Wingdings 2" w:hAnsi="Wingdings 2" w:hint="default"/>
      </w:rPr>
    </w:lvl>
    <w:lvl w:ilvl="5" w:tplc="648E3B06" w:tentative="1">
      <w:start w:val="1"/>
      <w:numFmt w:val="bullet"/>
      <w:lvlText w:val=""/>
      <w:lvlJc w:val="left"/>
      <w:pPr>
        <w:tabs>
          <w:tab w:val="num" w:pos="4320"/>
        </w:tabs>
        <w:ind w:left="4320" w:hanging="360"/>
      </w:pPr>
      <w:rPr>
        <w:rFonts w:ascii="Wingdings 2" w:hAnsi="Wingdings 2" w:hint="default"/>
      </w:rPr>
    </w:lvl>
    <w:lvl w:ilvl="6" w:tplc="A218F5E6" w:tentative="1">
      <w:start w:val="1"/>
      <w:numFmt w:val="bullet"/>
      <w:lvlText w:val=""/>
      <w:lvlJc w:val="left"/>
      <w:pPr>
        <w:tabs>
          <w:tab w:val="num" w:pos="5040"/>
        </w:tabs>
        <w:ind w:left="5040" w:hanging="360"/>
      </w:pPr>
      <w:rPr>
        <w:rFonts w:ascii="Wingdings 2" w:hAnsi="Wingdings 2" w:hint="default"/>
      </w:rPr>
    </w:lvl>
    <w:lvl w:ilvl="7" w:tplc="02DCFEF2" w:tentative="1">
      <w:start w:val="1"/>
      <w:numFmt w:val="bullet"/>
      <w:lvlText w:val=""/>
      <w:lvlJc w:val="left"/>
      <w:pPr>
        <w:tabs>
          <w:tab w:val="num" w:pos="5760"/>
        </w:tabs>
        <w:ind w:left="5760" w:hanging="360"/>
      </w:pPr>
      <w:rPr>
        <w:rFonts w:ascii="Wingdings 2" w:hAnsi="Wingdings 2" w:hint="default"/>
      </w:rPr>
    </w:lvl>
    <w:lvl w:ilvl="8" w:tplc="1BAAA3C0" w:tentative="1">
      <w:start w:val="1"/>
      <w:numFmt w:val="bullet"/>
      <w:lvlText w:val=""/>
      <w:lvlJc w:val="left"/>
      <w:pPr>
        <w:tabs>
          <w:tab w:val="num" w:pos="6480"/>
        </w:tabs>
        <w:ind w:left="6480" w:hanging="360"/>
      </w:pPr>
      <w:rPr>
        <w:rFonts w:ascii="Wingdings 2" w:hAnsi="Wingdings 2" w:hint="default"/>
      </w:rPr>
    </w:lvl>
  </w:abstractNum>
  <w:abstractNum w:abstractNumId="6">
    <w:nsid w:val="38AB4382"/>
    <w:multiLevelType w:val="hybridMultilevel"/>
    <w:tmpl w:val="3F6C9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A297E82"/>
    <w:multiLevelType w:val="hybridMultilevel"/>
    <w:tmpl w:val="4D9251D0"/>
    <w:lvl w:ilvl="0" w:tplc="04090001">
      <w:start w:val="1"/>
      <w:numFmt w:val="bullet"/>
      <w:lvlText w:val=""/>
      <w:lvlJc w:val="left"/>
      <w:pPr>
        <w:ind w:left="720" w:hanging="360"/>
      </w:pPr>
      <w:rPr>
        <w:rFonts w:ascii="Symbol" w:hAnsi="Symbol" w:hint="default"/>
      </w:rPr>
    </w:lvl>
    <w:lvl w:ilvl="1" w:tplc="F19CA90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536AEB"/>
    <w:multiLevelType w:val="hybridMultilevel"/>
    <w:tmpl w:val="E318AB94"/>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19CA90C">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A27F4"/>
    <w:multiLevelType w:val="hybridMultilevel"/>
    <w:tmpl w:val="0D8E8286"/>
    <w:lvl w:ilvl="0" w:tplc="1B62E3E6">
      <w:start w:val="5"/>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CB3601"/>
    <w:multiLevelType w:val="hybridMultilevel"/>
    <w:tmpl w:val="F34C4E44"/>
    <w:lvl w:ilvl="0" w:tplc="FF10BAD8">
      <w:start w:val="1"/>
      <w:numFmt w:val="bullet"/>
      <w:lvlText w:val=""/>
      <w:lvlJc w:val="left"/>
      <w:pPr>
        <w:tabs>
          <w:tab w:val="num" w:pos="720"/>
        </w:tabs>
        <w:ind w:left="720" w:hanging="360"/>
      </w:pPr>
      <w:rPr>
        <w:rFonts w:ascii="Wingdings 2" w:hAnsi="Wingdings 2" w:hint="default"/>
      </w:rPr>
    </w:lvl>
    <w:lvl w:ilvl="1" w:tplc="A5D098A6" w:tentative="1">
      <w:start w:val="1"/>
      <w:numFmt w:val="bullet"/>
      <w:lvlText w:val=""/>
      <w:lvlJc w:val="left"/>
      <w:pPr>
        <w:tabs>
          <w:tab w:val="num" w:pos="1440"/>
        </w:tabs>
        <w:ind w:left="1440" w:hanging="360"/>
      </w:pPr>
      <w:rPr>
        <w:rFonts w:ascii="Wingdings 2" w:hAnsi="Wingdings 2" w:hint="default"/>
      </w:rPr>
    </w:lvl>
    <w:lvl w:ilvl="2" w:tplc="AE823C7A" w:tentative="1">
      <w:start w:val="1"/>
      <w:numFmt w:val="bullet"/>
      <w:lvlText w:val=""/>
      <w:lvlJc w:val="left"/>
      <w:pPr>
        <w:tabs>
          <w:tab w:val="num" w:pos="2160"/>
        </w:tabs>
        <w:ind w:left="2160" w:hanging="360"/>
      </w:pPr>
      <w:rPr>
        <w:rFonts w:ascii="Wingdings 2" w:hAnsi="Wingdings 2" w:hint="default"/>
      </w:rPr>
    </w:lvl>
    <w:lvl w:ilvl="3" w:tplc="6F2A2404" w:tentative="1">
      <w:start w:val="1"/>
      <w:numFmt w:val="bullet"/>
      <w:lvlText w:val=""/>
      <w:lvlJc w:val="left"/>
      <w:pPr>
        <w:tabs>
          <w:tab w:val="num" w:pos="2880"/>
        </w:tabs>
        <w:ind w:left="2880" w:hanging="360"/>
      </w:pPr>
      <w:rPr>
        <w:rFonts w:ascii="Wingdings 2" w:hAnsi="Wingdings 2" w:hint="default"/>
      </w:rPr>
    </w:lvl>
    <w:lvl w:ilvl="4" w:tplc="073A8086" w:tentative="1">
      <w:start w:val="1"/>
      <w:numFmt w:val="bullet"/>
      <w:lvlText w:val=""/>
      <w:lvlJc w:val="left"/>
      <w:pPr>
        <w:tabs>
          <w:tab w:val="num" w:pos="3600"/>
        </w:tabs>
        <w:ind w:left="3600" w:hanging="360"/>
      </w:pPr>
      <w:rPr>
        <w:rFonts w:ascii="Wingdings 2" w:hAnsi="Wingdings 2" w:hint="default"/>
      </w:rPr>
    </w:lvl>
    <w:lvl w:ilvl="5" w:tplc="22A68BDA" w:tentative="1">
      <w:start w:val="1"/>
      <w:numFmt w:val="bullet"/>
      <w:lvlText w:val=""/>
      <w:lvlJc w:val="left"/>
      <w:pPr>
        <w:tabs>
          <w:tab w:val="num" w:pos="4320"/>
        </w:tabs>
        <w:ind w:left="4320" w:hanging="360"/>
      </w:pPr>
      <w:rPr>
        <w:rFonts w:ascii="Wingdings 2" w:hAnsi="Wingdings 2" w:hint="default"/>
      </w:rPr>
    </w:lvl>
    <w:lvl w:ilvl="6" w:tplc="BE5A14E4" w:tentative="1">
      <w:start w:val="1"/>
      <w:numFmt w:val="bullet"/>
      <w:lvlText w:val=""/>
      <w:lvlJc w:val="left"/>
      <w:pPr>
        <w:tabs>
          <w:tab w:val="num" w:pos="5040"/>
        </w:tabs>
        <w:ind w:left="5040" w:hanging="360"/>
      </w:pPr>
      <w:rPr>
        <w:rFonts w:ascii="Wingdings 2" w:hAnsi="Wingdings 2" w:hint="default"/>
      </w:rPr>
    </w:lvl>
    <w:lvl w:ilvl="7" w:tplc="CDDAD002" w:tentative="1">
      <w:start w:val="1"/>
      <w:numFmt w:val="bullet"/>
      <w:lvlText w:val=""/>
      <w:lvlJc w:val="left"/>
      <w:pPr>
        <w:tabs>
          <w:tab w:val="num" w:pos="5760"/>
        </w:tabs>
        <w:ind w:left="5760" w:hanging="360"/>
      </w:pPr>
      <w:rPr>
        <w:rFonts w:ascii="Wingdings 2" w:hAnsi="Wingdings 2" w:hint="default"/>
      </w:rPr>
    </w:lvl>
    <w:lvl w:ilvl="8" w:tplc="6EFE69E0" w:tentative="1">
      <w:start w:val="1"/>
      <w:numFmt w:val="bullet"/>
      <w:lvlText w:val=""/>
      <w:lvlJc w:val="left"/>
      <w:pPr>
        <w:tabs>
          <w:tab w:val="num" w:pos="6480"/>
        </w:tabs>
        <w:ind w:left="6480" w:hanging="360"/>
      </w:pPr>
      <w:rPr>
        <w:rFonts w:ascii="Wingdings 2" w:hAnsi="Wingdings 2" w:hint="default"/>
      </w:rPr>
    </w:lvl>
  </w:abstractNum>
  <w:abstractNum w:abstractNumId="11">
    <w:nsid w:val="4CF515B0"/>
    <w:multiLevelType w:val="hybridMultilevel"/>
    <w:tmpl w:val="94D066B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DB01310">
      <w:start w:val="1"/>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D2713E8"/>
    <w:multiLevelType w:val="multilevel"/>
    <w:tmpl w:val="456C9AEA"/>
    <w:lvl w:ilvl="0">
      <w:start w:val="1"/>
      <w:numFmt w:val="decimal"/>
      <w:pStyle w:val="Heading2"/>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57435FCD"/>
    <w:multiLevelType w:val="hybridMultilevel"/>
    <w:tmpl w:val="F9DE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4F3804"/>
    <w:multiLevelType w:val="hybridMultilevel"/>
    <w:tmpl w:val="47169FB8"/>
    <w:lvl w:ilvl="0" w:tplc="0572265A">
      <w:start w:val="1"/>
      <w:numFmt w:val="bullet"/>
      <w:lvlText w:val=""/>
      <w:lvlJc w:val="left"/>
      <w:pPr>
        <w:tabs>
          <w:tab w:val="num" w:pos="720"/>
        </w:tabs>
        <w:ind w:left="720" w:hanging="360"/>
      </w:pPr>
      <w:rPr>
        <w:rFonts w:ascii="Wingdings 2" w:hAnsi="Wingdings 2" w:hint="default"/>
      </w:rPr>
    </w:lvl>
    <w:lvl w:ilvl="1" w:tplc="91169624" w:tentative="1">
      <w:start w:val="1"/>
      <w:numFmt w:val="bullet"/>
      <w:lvlText w:val=""/>
      <w:lvlJc w:val="left"/>
      <w:pPr>
        <w:tabs>
          <w:tab w:val="num" w:pos="1440"/>
        </w:tabs>
        <w:ind w:left="1440" w:hanging="360"/>
      </w:pPr>
      <w:rPr>
        <w:rFonts w:ascii="Wingdings 2" w:hAnsi="Wingdings 2" w:hint="default"/>
      </w:rPr>
    </w:lvl>
    <w:lvl w:ilvl="2" w:tplc="60DC3DC0" w:tentative="1">
      <w:start w:val="1"/>
      <w:numFmt w:val="bullet"/>
      <w:lvlText w:val=""/>
      <w:lvlJc w:val="left"/>
      <w:pPr>
        <w:tabs>
          <w:tab w:val="num" w:pos="2160"/>
        </w:tabs>
        <w:ind w:left="2160" w:hanging="360"/>
      </w:pPr>
      <w:rPr>
        <w:rFonts w:ascii="Wingdings 2" w:hAnsi="Wingdings 2" w:hint="default"/>
      </w:rPr>
    </w:lvl>
    <w:lvl w:ilvl="3" w:tplc="574431A0" w:tentative="1">
      <w:start w:val="1"/>
      <w:numFmt w:val="bullet"/>
      <w:lvlText w:val=""/>
      <w:lvlJc w:val="left"/>
      <w:pPr>
        <w:tabs>
          <w:tab w:val="num" w:pos="2880"/>
        </w:tabs>
        <w:ind w:left="2880" w:hanging="360"/>
      </w:pPr>
      <w:rPr>
        <w:rFonts w:ascii="Wingdings 2" w:hAnsi="Wingdings 2" w:hint="default"/>
      </w:rPr>
    </w:lvl>
    <w:lvl w:ilvl="4" w:tplc="2884C516" w:tentative="1">
      <w:start w:val="1"/>
      <w:numFmt w:val="bullet"/>
      <w:lvlText w:val=""/>
      <w:lvlJc w:val="left"/>
      <w:pPr>
        <w:tabs>
          <w:tab w:val="num" w:pos="3600"/>
        </w:tabs>
        <w:ind w:left="3600" w:hanging="360"/>
      </w:pPr>
      <w:rPr>
        <w:rFonts w:ascii="Wingdings 2" w:hAnsi="Wingdings 2" w:hint="default"/>
      </w:rPr>
    </w:lvl>
    <w:lvl w:ilvl="5" w:tplc="65EEEB40" w:tentative="1">
      <w:start w:val="1"/>
      <w:numFmt w:val="bullet"/>
      <w:lvlText w:val=""/>
      <w:lvlJc w:val="left"/>
      <w:pPr>
        <w:tabs>
          <w:tab w:val="num" w:pos="4320"/>
        </w:tabs>
        <w:ind w:left="4320" w:hanging="360"/>
      </w:pPr>
      <w:rPr>
        <w:rFonts w:ascii="Wingdings 2" w:hAnsi="Wingdings 2" w:hint="default"/>
      </w:rPr>
    </w:lvl>
    <w:lvl w:ilvl="6" w:tplc="8B9ED8E8" w:tentative="1">
      <w:start w:val="1"/>
      <w:numFmt w:val="bullet"/>
      <w:lvlText w:val=""/>
      <w:lvlJc w:val="left"/>
      <w:pPr>
        <w:tabs>
          <w:tab w:val="num" w:pos="5040"/>
        </w:tabs>
        <w:ind w:left="5040" w:hanging="360"/>
      </w:pPr>
      <w:rPr>
        <w:rFonts w:ascii="Wingdings 2" w:hAnsi="Wingdings 2" w:hint="default"/>
      </w:rPr>
    </w:lvl>
    <w:lvl w:ilvl="7" w:tplc="D52ED846" w:tentative="1">
      <w:start w:val="1"/>
      <w:numFmt w:val="bullet"/>
      <w:lvlText w:val=""/>
      <w:lvlJc w:val="left"/>
      <w:pPr>
        <w:tabs>
          <w:tab w:val="num" w:pos="5760"/>
        </w:tabs>
        <w:ind w:left="5760" w:hanging="360"/>
      </w:pPr>
      <w:rPr>
        <w:rFonts w:ascii="Wingdings 2" w:hAnsi="Wingdings 2" w:hint="default"/>
      </w:rPr>
    </w:lvl>
    <w:lvl w:ilvl="8" w:tplc="8940D38E" w:tentative="1">
      <w:start w:val="1"/>
      <w:numFmt w:val="bullet"/>
      <w:lvlText w:val=""/>
      <w:lvlJc w:val="left"/>
      <w:pPr>
        <w:tabs>
          <w:tab w:val="num" w:pos="6480"/>
        </w:tabs>
        <w:ind w:left="6480" w:hanging="360"/>
      </w:pPr>
      <w:rPr>
        <w:rFonts w:ascii="Wingdings 2" w:hAnsi="Wingdings 2" w:hint="default"/>
      </w:rPr>
    </w:lvl>
  </w:abstractNum>
  <w:abstractNum w:abstractNumId="15">
    <w:nsid w:val="584D44B5"/>
    <w:multiLevelType w:val="hybridMultilevel"/>
    <w:tmpl w:val="2FB45F9E"/>
    <w:lvl w:ilvl="0" w:tplc="C5C6F1C4">
      <w:start w:val="1"/>
      <w:numFmt w:val="upp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6">
    <w:nsid w:val="5DA14515"/>
    <w:multiLevelType w:val="hybridMultilevel"/>
    <w:tmpl w:val="5DD87C4E"/>
    <w:lvl w:ilvl="0" w:tplc="3C248C28">
      <w:start w:val="1"/>
      <w:numFmt w:val="bullet"/>
      <w:lvlText w:val=""/>
      <w:lvlJc w:val="left"/>
      <w:pPr>
        <w:ind w:left="720" w:hanging="360"/>
      </w:pPr>
      <w:rPr>
        <w:rFonts w:ascii="Wingdings" w:hAnsi="Wingding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1E7A13"/>
    <w:multiLevelType w:val="hybridMultilevel"/>
    <w:tmpl w:val="3014D5D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D1125"/>
    <w:multiLevelType w:val="hybridMultilevel"/>
    <w:tmpl w:val="DDA0D84C"/>
    <w:lvl w:ilvl="0" w:tplc="67163476">
      <w:start w:val="1"/>
      <w:numFmt w:val="bullet"/>
      <w:lvlText w:val=""/>
      <w:lvlJc w:val="left"/>
      <w:pPr>
        <w:tabs>
          <w:tab w:val="num" w:pos="720"/>
        </w:tabs>
        <w:ind w:left="720" w:hanging="360"/>
      </w:pPr>
      <w:rPr>
        <w:rFonts w:ascii="Wingdings 2" w:hAnsi="Wingdings 2" w:hint="default"/>
      </w:rPr>
    </w:lvl>
    <w:lvl w:ilvl="1" w:tplc="E258F8E0" w:tentative="1">
      <w:start w:val="1"/>
      <w:numFmt w:val="bullet"/>
      <w:lvlText w:val=""/>
      <w:lvlJc w:val="left"/>
      <w:pPr>
        <w:tabs>
          <w:tab w:val="num" w:pos="1440"/>
        </w:tabs>
        <w:ind w:left="1440" w:hanging="360"/>
      </w:pPr>
      <w:rPr>
        <w:rFonts w:ascii="Wingdings 2" w:hAnsi="Wingdings 2" w:hint="default"/>
      </w:rPr>
    </w:lvl>
    <w:lvl w:ilvl="2" w:tplc="2B3ADA0E" w:tentative="1">
      <w:start w:val="1"/>
      <w:numFmt w:val="bullet"/>
      <w:lvlText w:val=""/>
      <w:lvlJc w:val="left"/>
      <w:pPr>
        <w:tabs>
          <w:tab w:val="num" w:pos="2160"/>
        </w:tabs>
        <w:ind w:left="2160" w:hanging="360"/>
      </w:pPr>
      <w:rPr>
        <w:rFonts w:ascii="Wingdings 2" w:hAnsi="Wingdings 2" w:hint="default"/>
      </w:rPr>
    </w:lvl>
    <w:lvl w:ilvl="3" w:tplc="DF323C78" w:tentative="1">
      <w:start w:val="1"/>
      <w:numFmt w:val="bullet"/>
      <w:lvlText w:val=""/>
      <w:lvlJc w:val="left"/>
      <w:pPr>
        <w:tabs>
          <w:tab w:val="num" w:pos="2880"/>
        </w:tabs>
        <w:ind w:left="2880" w:hanging="360"/>
      </w:pPr>
      <w:rPr>
        <w:rFonts w:ascii="Wingdings 2" w:hAnsi="Wingdings 2" w:hint="default"/>
      </w:rPr>
    </w:lvl>
    <w:lvl w:ilvl="4" w:tplc="2AF08C12" w:tentative="1">
      <w:start w:val="1"/>
      <w:numFmt w:val="bullet"/>
      <w:lvlText w:val=""/>
      <w:lvlJc w:val="left"/>
      <w:pPr>
        <w:tabs>
          <w:tab w:val="num" w:pos="3600"/>
        </w:tabs>
        <w:ind w:left="3600" w:hanging="360"/>
      </w:pPr>
      <w:rPr>
        <w:rFonts w:ascii="Wingdings 2" w:hAnsi="Wingdings 2" w:hint="default"/>
      </w:rPr>
    </w:lvl>
    <w:lvl w:ilvl="5" w:tplc="22BAC092" w:tentative="1">
      <w:start w:val="1"/>
      <w:numFmt w:val="bullet"/>
      <w:lvlText w:val=""/>
      <w:lvlJc w:val="left"/>
      <w:pPr>
        <w:tabs>
          <w:tab w:val="num" w:pos="4320"/>
        </w:tabs>
        <w:ind w:left="4320" w:hanging="360"/>
      </w:pPr>
      <w:rPr>
        <w:rFonts w:ascii="Wingdings 2" w:hAnsi="Wingdings 2" w:hint="default"/>
      </w:rPr>
    </w:lvl>
    <w:lvl w:ilvl="6" w:tplc="1AC2D074" w:tentative="1">
      <w:start w:val="1"/>
      <w:numFmt w:val="bullet"/>
      <w:lvlText w:val=""/>
      <w:lvlJc w:val="left"/>
      <w:pPr>
        <w:tabs>
          <w:tab w:val="num" w:pos="5040"/>
        </w:tabs>
        <w:ind w:left="5040" w:hanging="360"/>
      </w:pPr>
      <w:rPr>
        <w:rFonts w:ascii="Wingdings 2" w:hAnsi="Wingdings 2" w:hint="default"/>
      </w:rPr>
    </w:lvl>
    <w:lvl w:ilvl="7" w:tplc="A560077C" w:tentative="1">
      <w:start w:val="1"/>
      <w:numFmt w:val="bullet"/>
      <w:lvlText w:val=""/>
      <w:lvlJc w:val="left"/>
      <w:pPr>
        <w:tabs>
          <w:tab w:val="num" w:pos="5760"/>
        </w:tabs>
        <w:ind w:left="5760" w:hanging="360"/>
      </w:pPr>
      <w:rPr>
        <w:rFonts w:ascii="Wingdings 2" w:hAnsi="Wingdings 2" w:hint="default"/>
      </w:rPr>
    </w:lvl>
    <w:lvl w:ilvl="8" w:tplc="6B0C4D16" w:tentative="1">
      <w:start w:val="1"/>
      <w:numFmt w:val="bullet"/>
      <w:lvlText w:val=""/>
      <w:lvlJc w:val="left"/>
      <w:pPr>
        <w:tabs>
          <w:tab w:val="num" w:pos="6480"/>
        </w:tabs>
        <w:ind w:left="6480" w:hanging="360"/>
      </w:pPr>
      <w:rPr>
        <w:rFonts w:ascii="Wingdings 2" w:hAnsi="Wingdings 2" w:hint="default"/>
      </w:rPr>
    </w:lvl>
  </w:abstractNum>
  <w:abstractNum w:abstractNumId="19">
    <w:nsid w:val="603D57FD"/>
    <w:multiLevelType w:val="hybridMultilevel"/>
    <w:tmpl w:val="B4360802"/>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60B37833"/>
    <w:multiLevelType w:val="hybridMultilevel"/>
    <w:tmpl w:val="1660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3659DC"/>
    <w:multiLevelType w:val="hybridMultilevel"/>
    <w:tmpl w:val="770C857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E205D"/>
    <w:multiLevelType w:val="hybridMultilevel"/>
    <w:tmpl w:val="21700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F07A1C"/>
    <w:multiLevelType w:val="hybridMultilevel"/>
    <w:tmpl w:val="AFE80CEE"/>
    <w:lvl w:ilvl="0" w:tplc="6BA88B4E">
      <w:start w:val="1"/>
      <w:numFmt w:val="bullet"/>
      <w:lvlText w:val=""/>
      <w:lvlJc w:val="left"/>
      <w:pPr>
        <w:tabs>
          <w:tab w:val="num" w:pos="720"/>
        </w:tabs>
        <w:ind w:left="720" w:hanging="360"/>
      </w:pPr>
      <w:rPr>
        <w:rFonts w:ascii="Wingdings 2" w:hAnsi="Wingdings 2" w:hint="default"/>
      </w:rPr>
    </w:lvl>
    <w:lvl w:ilvl="1" w:tplc="C88C490E" w:tentative="1">
      <w:start w:val="1"/>
      <w:numFmt w:val="bullet"/>
      <w:lvlText w:val=""/>
      <w:lvlJc w:val="left"/>
      <w:pPr>
        <w:tabs>
          <w:tab w:val="num" w:pos="1440"/>
        </w:tabs>
        <w:ind w:left="1440" w:hanging="360"/>
      </w:pPr>
      <w:rPr>
        <w:rFonts w:ascii="Wingdings 2" w:hAnsi="Wingdings 2" w:hint="default"/>
      </w:rPr>
    </w:lvl>
    <w:lvl w:ilvl="2" w:tplc="F9BEA58E" w:tentative="1">
      <w:start w:val="1"/>
      <w:numFmt w:val="bullet"/>
      <w:lvlText w:val=""/>
      <w:lvlJc w:val="left"/>
      <w:pPr>
        <w:tabs>
          <w:tab w:val="num" w:pos="2160"/>
        </w:tabs>
        <w:ind w:left="2160" w:hanging="360"/>
      </w:pPr>
      <w:rPr>
        <w:rFonts w:ascii="Wingdings 2" w:hAnsi="Wingdings 2" w:hint="default"/>
      </w:rPr>
    </w:lvl>
    <w:lvl w:ilvl="3" w:tplc="B8D8E9A6" w:tentative="1">
      <w:start w:val="1"/>
      <w:numFmt w:val="bullet"/>
      <w:lvlText w:val=""/>
      <w:lvlJc w:val="left"/>
      <w:pPr>
        <w:tabs>
          <w:tab w:val="num" w:pos="2880"/>
        </w:tabs>
        <w:ind w:left="2880" w:hanging="360"/>
      </w:pPr>
      <w:rPr>
        <w:rFonts w:ascii="Wingdings 2" w:hAnsi="Wingdings 2" w:hint="default"/>
      </w:rPr>
    </w:lvl>
    <w:lvl w:ilvl="4" w:tplc="26EECC04" w:tentative="1">
      <w:start w:val="1"/>
      <w:numFmt w:val="bullet"/>
      <w:lvlText w:val=""/>
      <w:lvlJc w:val="left"/>
      <w:pPr>
        <w:tabs>
          <w:tab w:val="num" w:pos="3600"/>
        </w:tabs>
        <w:ind w:left="3600" w:hanging="360"/>
      </w:pPr>
      <w:rPr>
        <w:rFonts w:ascii="Wingdings 2" w:hAnsi="Wingdings 2" w:hint="default"/>
      </w:rPr>
    </w:lvl>
    <w:lvl w:ilvl="5" w:tplc="64882FB6" w:tentative="1">
      <w:start w:val="1"/>
      <w:numFmt w:val="bullet"/>
      <w:lvlText w:val=""/>
      <w:lvlJc w:val="left"/>
      <w:pPr>
        <w:tabs>
          <w:tab w:val="num" w:pos="4320"/>
        </w:tabs>
        <w:ind w:left="4320" w:hanging="360"/>
      </w:pPr>
      <w:rPr>
        <w:rFonts w:ascii="Wingdings 2" w:hAnsi="Wingdings 2" w:hint="default"/>
      </w:rPr>
    </w:lvl>
    <w:lvl w:ilvl="6" w:tplc="C2500EEC" w:tentative="1">
      <w:start w:val="1"/>
      <w:numFmt w:val="bullet"/>
      <w:lvlText w:val=""/>
      <w:lvlJc w:val="left"/>
      <w:pPr>
        <w:tabs>
          <w:tab w:val="num" w:pos="5040"/>
        </w:tabs>
        <w:ind w:left="5040" w:hanging="360"/>
      </w:pPr>
      <w:rPr>
        <w:rFonts w:ascii="Wingdings 2" w:hAnsi="Wingdings 2" w:hint="default"/>
      </w:rPr>
    </w:lvl>
    <w:lvl w:ilvl="7" w:tplc="E59E7F06" w:tentative="1">
      <w:start w:val="1"/>
      <w:numFmt w:val="bullet"/>
      <w:lvlText w:val=""/>
      <w:lvlJc w:val="left"/>
      <w:pPr>
        <w:tabs>
          <w:tab w:val="num" w:pos="5760"/>
        </w:tabs>
        <w:ind w:left="5760" w:hanging="360"/>
      </w:pPr>
      <w:rPr>
        <w:rFonts w:ascii="Wingdings 2" w:hAnsi="Wingdings 2" w:hint="default"/>
      </w:rPr>
    </w:lvl>
    <w:lvl w:ilvl="8" w:tplc="8DF0BE52"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9"/>
  </w:num>
  <w:num w:numId="3">
    <w:abstractNumId w:val="4"/>
  </w:num>
  <w:num w:numId="4">
    <w:abstractNumId w:val="2"/>
  </w:num>
  <w:num w:numId="5">
    <w:abstractNumId w:val="21"/>
  </w:num>
  <w:num w:numId="6">
    <w:abstractNumId w:val="13"/>
  </w:num>
  <w:num w:numId="7">
    <w:abstractNumId w:val="22"/>
  </w:num>
  <w:num w:numId="8">
    <w:abstractNumId w:val="12"/>
  </w:num>
  <w:num w:numId="9">
    <w:abstractNumId w:val="6"/>
  </w:num>
  <w:num w:numId="10">
    <w:abstractNumId w:val="17"/>
  </w:num>
  <w:num w:numId="11">
    <w:abstractNumId w:val="20"/>
  </w:num>
  <w:num w:numId="12">
    <w:abstractNumId w:val="11"/>
  </w:num>
  <w:num w:numId="13">
    <w:abstractNumId w:val="3"/>
  </w:num>
  <w:num w:numId="14">
    <w:abstractNumId w:val="19"/>
  </w:num>
  <w:num w:numId="15">
    <w:abstractNumId w:val="16"/>
  </w:num>
  <w:num w:numId="16">
    <w:abstractNumId w:val="7"/>
  </w:num>
  <w:num w:numId="17">
    <w:abstractNumId w:val="8"/>
  </w:num>
  <w:num w:numId="18">
    <w:abstractNumId w:val="14"/>
  </w:num>
  <w:num w:numId="19">
    <w:abstractNumId w:val="18"/>
  </w:num>
  <w:num w:numId="20">
    <w:abstractNumId w:val="1"/>
  </w:num>
  <w:num w:numId="21">
    <w:abstractNumId w:val="0"/>
  </w:num>
  <w:num w:numId="22">
    <w:abstractNumId w:val="5"/>
  </w:num>
  <w:num w:numId="23">
    <w:abstractNumId w:val="2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9532D"/>
    <w:rsid w:val="00006B32"/>
    <w:rsid w:val="00012AA8"/>
    <w:rsid w:val="00017EF0"/>
    <w:rsid w:val="000228A6"/>
    <w:rsid w:val="0003182F"/>
    <w:rsid w:val="00040EE5"/>
    <w:rsid w:val="00066BD1"/>
    <w:rsid w:val="00073160"/>
    <w:rsid w:val="000A1479"/>
    <w:rsid w:val="000E5239"/>
    <w:rsid w:val="001016B6"/>
    <w:rsid w:val="00101F7C"/>
    <w:rsid w:val="00102775"/>
    <w:rsid w:val="00110E41"/>
    <w:rsid w:val="00133259"/>
    <w:rsid w:val="00175B6A"/>
    <w:rsid w:val="001A6064"/>
    <w:rsid w:val="001D4DFF"/>
    <w:rsid w:val="001F391B"/>
    <w:rsid w:val="00214E71"/>
    <w:rsid w:val="002273ED"/>
    <w:rsid w:val="002636AB"/>
    <w:rsid w:val="00291EB2"/>
    <w:rsid w:val="002D03CE"/>
    <w:rsid w:val="003004A0"/>
    <w:rsid w:val="003313EA"/>
    <w:rsid w:val="00333C2F"/>
    <w:rsid w:val="0033539A"/>
    <w:rsid w:val="00343E87"/>
    <w:rsid w:val="003525DC"/>
    <w:rsid w:val="0035675B"/>
    <w:rsid w:val="003870EE"/>
    <w:rsid w:val="003947C8"/>
    <w:rsid w:val="003A2A5D"/>
    <w:rsid w:val="003A456E"/>
    <w:rsid w:val="003F1B6C"/>
    <w:rsid w:val="00432D61"/>
    <w:rsid w:val="00467C19"/>
    <w:rsid w:val="00474F27"/>
    <w:rsid w:val="004B632D"/>
    <w:rsid w:val="004F3459"/>
    <w:rsid w:val="0053604F"/>
    <w:rsid w:val="005424CE"/>
    <w:rsid w:val="005A24D1"/>
    <w:rsid w:val="005D285C"/>
    <w:rsid w:val="005E5B7B"/>
    <w:rsid w:val="005F1C2A"/>
    <w:rsid w:val="005F2F8D"/>
    <w:rsid w:val="006049E1"/>
    <w:rsid w:val="00611563"/>
    <w:rsid w:val="0062693D"/>
    <w:rsid w:val="00635D5C"/>
    <w:rsid w:val="00636129"/>
    <w:rsid w:val="00654911"/>
    <w:rsid w:val="0069532D"/>
    <w:rsid w:val="006A3D80"/>
    <w:rsid w:val="006B3954"/>
    <w:rsid w:val="006B6750"/>
    <w:rsid w:val="006B74DF"/>
    <w:rsid w:val="00711C37"/>
    <w:rsid w:val="00757685"/>
    <w:rsid w:val="00761C82"/>
    <w:rsid w:val="00783745"/>
    <w:rsid w:val="007D1DF0"/>
    <w:rsid w:val="007E413C"/>
    <w:rsid w:val="0081776D"/>
    <w:rsid w:val="008264D6"/>
    <w:rsid w:val="00831046"/>
    <w:rsid w:val="00836445"/>
    <w:rsid w:val="008733BA"/>
    <w:rsid w:val="008947E9"/>
    <w:rsid w:val="008B38C1"/>
    <w:rsid w:val="008F22AA"/>
    <w:rsid w:val="0097320D"/>
    <w:rsid w:val="009765C5"/>
    <w:rsid w:val="009F31E4"/>
    <w:rsid w:val="00A11A0A"/>
    <w:rsid w:val="00A267E2"/>
    <w:rsid w:val="00A27A5F"/>
    <w:rsid w:val="00A72803"/>
    <w:rsid w:val="00AF1FD9"/>
    <w:rsid w:val="00B10F06"/>
    <w:rsid w:val="00B11C9A"/>
    <w:rsid w:val="00B7327E"/>
    <w:rsid w:val="00B842F0"/>
    <w:rsid w:val="00B90759"/>
    <w:rsid w:val="00BD3D00"/>
    <w:rsid w:val="00BE761D"/>
    <w:rsid w:val="00C03C3C"/>
    <w:rsid w:val="00C0619F"/>
    <w:rsid w:val="00C50DED"/>
    <w:rsid w:val="00C73119"/>
    <w:rsid w:val="00CC59E0"/>
    <w:rsid w:val="00CD4A9D"/>
    <w:rsid w:val="00CF5AC4"/>
    <w:rsid w:val="00D034A0"/>
    <w:rsid w:val="00D14E1D"/>
    <w:rsid w:val="00D5555B"/>
    <w:rsid w:val="00D56993"/>
    <w:rsid w:val="00D77383"/>
    <w:rsid w:val="00D93D2C"/>
    <w:rsid w:val="00E00F20"/>
    <w:rsid w:val="00E07A19"/>
    <w:rsid w:val="00E10354"/>
    <w:rsid w:val="00E113C7"/>
    <w:rsid w:val="00E1474F"/>
    <w:rsid w:val="00E16B6A"/>
    <w:rsid w:val="00E17AEB"/>
    <w:rsid w:val="00E51C01"/>
    <w:rsid w:val="00E87738"/>
    <w:rsid w:val="00EF3D06"/>
    <w:rsid w:val="00F3713C"/>
    <w:rsid w:val="00F409EA"/>
    <w:rsid w:val="00FB491B"/>
    <w:rsid w:val="00FD5934"/>
    <w:rsid w:val="00FF52C9"/>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B6"/>
    <w:pPr>
      <w:spacing w:after="0" w:line="240" w:lineRule="auto"/>
    </w:pPr>
    <w:rPr>
      <w:rFonts w:ascii="Calibri" w:eastAsia="Times New Roman" w:hAnsi="Calibri" w:cs="Times New Roman"/>
      <w:sz w:val="24"/>
      <w:szCs w:val="24"/>
      <w:lang w:eastAsia="en-GB"/>
    </w:rPr>
  </w:style>
  <w:style w:type="paragraph" w:styleId="Heading2">
    <w:name w:val="heading 2"/>
    <w:basedOn w:val="Normal"/>
    <w:next w:val="BodyText"/>
    <w:link w:val="Heading2Char"/>
    <w:autoRedefine/>
    <w:qFormat/>
    <w:rsid w:val="00073160"/>
    <w:pPr>
      <w:keepNext/>
      <w:numPr>
        <w:numId w:val="8"/>
      </w:numPr>
      <w:spacing w:after="240" w:line="240" w:lineRule="atLeast"/>
      <w:outlineLvl w:val="1"/>
    </w:pPr>
    <w:rPr>
      <w:rFonts w:asciiTheme="minorHAnsi" w:hAnsiTheme="minorHAnsi"/>
      <w:b/>
      <w:bCs/>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9532D"/>
    <w:rPr>
      <w:sz w:val="16"/>
      <w:szCs w:val="16"/>
    </w:rPr>
  </w:style>
  <w:style w:type="paragraph" w:styleId="CommentText">
    <w:name w:val="annotation text"/>
    <w:basedOn w:val="Normal"/>
    <w:link w:val="CommentTextChar"/>
    <w:uiPriority w:val="99"/>
    <w:rsid w:val="0069532D"/>
    <w:rPr>
      <w:sz w:val="20"/>
      <w:szCs w:val="20"/>
    </w:rPr>
  </w:style>
  <w:style w:type="character" w:customStyle="1" w:styleId="CommentTextChar">
    <w:name w:val="Comment Text Char"/>
    <w:basedOn w:val="DefaultParagraphFont"/>
    <w:link w:val="CommentText"/>
    <w:uiPriority w:val="99"/>
    <w:rsid w:val="0069532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9532D"/>
    <w:rPr>
      <w:rFonts w:ascii="Tahoma" w:hAnsi="Tahoma" w:cs="Tahoma"/>
      <w:sz w:val="16"/>
      <w:szCs w:val="16"/>
    </w:rPr>
  </w:style>
  <w:style w:type="character" w:customStyle="1" w:styleId="BalloonTextChar">
    <w:name w:val="Balloon Text Char"/>
    <w:basedOn w:val="DefaultParagraphFont"/>
    <w:link w:val="BalloonText"/>
    <w:uiPriority w:val="99"/>
    <w:semiHidden/>
    <w:rsid w:val="0069532D"/>
    <w:rPr>
      <w:rFonts w:ascii="Tahoma" w:eastAsia="Times New Roman" w:hAnsi="Tahoma" w:cs="Tahoma"/>
      <w:sz w:val="16"/>
      <w:szCs w:val="16"/>
      <w:lang w:eastAsia="en-GB"/>
    </w:rPr>
  </w:style>
  <w:style w:type="paragraph" w:customStyle="1" w:styleId="BodySingle">
    <w:name w:val="Body Single"/>
    <w:rsid w:val="005E5B7B"/>
  </w:style>
  <w:style w:type="paragraph" w:styleId="CommentSubject">
    <w:name w:val="annotation subject"/>
    <w:basedOn w:val="CommentText"/>
    <w:next w:val="CommentText"/>
    <w:link w:val="CommentSubjectChar"/>
    <w:uiPriority w:val="99"/>
    <w:semiHidden/>
    <w:unhideWhenUsed/>
    <w:rsid w:val="003870EE"/>
    <w:rPr>
      <w:b/>
      <w:bCs/>
    </w:rPr>
  </w:style>
  <w:style w:type="character" w:customStyle="1" w:styleId="CommentSubjectChar">
    <w:name w:val="Comment Subject Char"/>
    <w:basedOn w:val="CommentTextChar"/>
    <w:link w:val="CommentSubject"/>
    <w:uiPriority w:val="99"/>
    <w:semiHidden/>
    <w:rsid w:val="003870E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F5AC4"/>
    <w:rPr>
      <w:color w:val="0000FF" w:themeColor="hyperlink"/>
      <w:u w:val="single"/>
    </w:rPr>
  </w:style>
  <w:style w:type="paragraph" w:styleId="ListParagraph">
    <w:name w:val="List Paragraph"/>
    <w:basedOn w:val="Normal"/>
    <w:uiPriority w:val="34"/>
    <w:qFormat/>
    <w:rsid w:val="008264D6"/>
    <w:pPr>
      <w:ind w:left="720"/>
    </w:pPr>
  </w:style>
  <w:style w:type="character" w:customStyle="1" w:styleId="Heading2Char">
    <w:name w:val="Heading 2 Char"/>
    <w:basedOn w:val="DefaultParagraphFont"/>
    <w:link w:val="Heading2"/>
    <w:rsid w:val="00073160"/>
    <w:rPr>
      <w:rFonts w:eastAsia="Times New Roman" w:cs="Times New Roman"/>
      <w:b/>
      <w:bCs/>
      <w:szCs w:val="20"/>
      <w:lang w:val="en-AU" w:eastAsia="en-AU"/>
    </w:rPr>
  </w:style>
  <w:style w:type="paragraph" w:styleId="BodyText">
    <w:name w:val="Body Text"/>
    <w:basedOn w:val="Normal"/>
    <w:link w:val="BodyTextChar"/>
    <w:uiPriority w:val="99"/>
    <w:semiHidden/>
    <w:unhideWhenUsed/>
    <w:rsid w:val="00073160"/>
    <w:pPr>
      <w:spacing w:after="120"/>
    </w:pPr>
  </w:style>
  <w:style w:type="character" w:customStyle="1" w:styleId="BodyTextChar">
    <w:name w:val="Body Text Char"/>
    <w:basedOn w:val="DefaultParagraphFont"/>
    <w:link w:val="BodyText"/>
    <w:uiPriority w:val="99"/>
    <w:semiHidden/>
    <w:rsid w:val="0007316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313EA"/>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HeaderChar">
    <w:name w:val="Header Char"/>
    <w:basedOn w:val="DefaultParagraphFont"/>
    <w:link w:val="Header"/>
    <w:uiPriority w:val="99"/>
    <w:rsid w:val="003313EA"/>
    <w:rPr>
      <w:lang w:val="en-AU"/>
    </w:rPr>
  </w:style>
  <w:style w:type="table" w:styleId="TableGrid">
    <w:name w:val="Table Grid"/>
    <w:basedOn w:val="TableNormal"/>
    <w:uiPriority w:val="59"/>
    <w:rsid w:val="0053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95933">
      <w:bodyDiv w:val="1"/>
      <w:marLeft w:val="0"/>
      <w:marRight w:val="0"/>
      <w:marTop w:val="0"/>
      <w:marBottom w:val="0"/>
      <w:divBdr>
        <w:top w:val="none" w:sz="0" w:space="0" w:color="auto"/>
        <w:left w:val="none" w:sz="0" w:space="0" w:color="auto"/>
        <w:bottom w:val="none" w:sz="0" w:space="0" w:color="auto"/>
        <w:right w:val="none" w:sz="0" w:space="0" w:color="auto"/>
      </w:divBdr>
    </w:div>
    <w:div w:id="415175131">
      <w:bodyDiv w:val="1"/>
      <w:marLeft w:val="0"/>
      <w:marRight w:val="0"/>
      <w:marTop w:val="0"/>
      <w:marBottom w:val="0"/>
      <w:divBdr>
        <w:top w:val="none" w:sz="0" w:space="0" w:color="auto"/>
        <w:left w:val="none" w:sz="0" w:space="0" w:color="auto"/>
        <w:bottom w:val="none" w:sz="0" w:space="0" w:color="auto"/>
        <w:right w:val="none" w:sz="0" w:space="0" w:color="auto"/>
      </w:divBdr>
      <w:divsChild>
        <w:div w:id="2077505862">
          <w:marLeft w:val="432"/>
          <w:marRight w:val="0"/>
          <w:marTop w:val="116"/>
          <w:marBottom w:val="0"/>
          <w:divBdr>
            <w:top w:val="none" w:sz="0" w:space="0" w:color="auto"/>
            <w:left w:val="none" w:sz="0" w:space="0" w:color="auto"/>
            <w:bottom w:val="none" w:sz="0" w:space="0" w:color="auto"/>
            <w:right w:val="none" w:sz="0" w:space="0" w:color="auto"/>
          </w:divBdr>
        </w:div>
        <w:div w:id="1430391514">
          <w:marLeft w:val="432"/>
          <w:marRight w:val="0"/>
          <w:marTop w:val="116"/>
          <w:marBottom w:val="0"/>
          <w:divBdr>
            <w:top w:val="none" w:sz="0" w:space="0" w:color="auto"/>
            <w:left w:val="none" w:sz="0" w:space="0" w:color="auto"/>
            <w:bottom w:val="none" w:sz="0" w:space="0" w:color="auto"/>
            <w:right w:val="none" w:sz="0" w:space="0" w:color="auto"/>
          </w:divBdr>
        </w:div>
        <w:div w:id="930284364">
          <w:marLeft w:val="432"/>
          <w:marRight w:val="0"/>
          <w:marTop w:val="116"/>
          <w:marBottom w:val="0"/>
          <w:divBdr>
            <w:top w:val="none" w:sz="0" w:space="0" w:color="auto"/>
            <w:left w:val="none" w:sz="0" w:space="0" w:color="auto"/>
            <w:bottom w:val="none" w:sz="0" w:space="0" w:color="auto"/>
            <w:right w:val="none" w:sz="0" w:space="0" w:color="auto"/>
          </w:divBdr>
        </w:div>
        <w:div w:id="13851275">
          <w:marLeft w:val="432"/>
          <w:marRight w:val="0"/>
          <w:marTop w:val="116"/>
          <w:marBottom w:val="0"/>
          <w:divBdr>
            <w:top w:val="none" w:sz="0" w:space="0" w:color="auto"/>
            <w:left w:val="none" w:sz="0" w:space="0" w:color="auto"/>
            <w:bottom w:val="none" w:sz="0" w:space="0" w:color="auto"/>
            <w:right w:val="none" w:sz="0" w:space="0" w:color="auto"/>
          </w:divBdr>
        </w:div>
        <w:div w:id="2007786283">
          <w:marLeft w:val="432"/>
          <w:marRight w:val="0"/>
          <w:marTop w:val="116"/>
          <w:marBottom w:val="0"/>
          <w:divBdr>
            <w:top w:val="none" w:sz="0" w:space="0" w:color="auto"/>
            <w:left w:val="none" w:sz="0" w:space="0" w:color="auto"/>
            <w:bottom w:val="none" w:sz="0" w:space="0" w:color="auto"/>
            <w:right w:val="none" w:sz="0" w:space="0" w:color="auto"/>
          </w:divBdr>
        </w:div>
        <w:div w:id="1158963658">
          <w:marLeft w:val="432"/>
          <w:marRight w:val="0"/>
          <w:marTop w:val="116"/>
          <w:marBottom w:val="0"/>
          <w:divBdr>
            <w:top w:val="none" w:sz="0" w:space="0" w:color="auto"/>
            <w:left w:val="none" w:sz="0" w:space="0" w:color="auto"/>
            <w:bottom w:val="none" w:sz="0" w:space="0" w:color="auto"/>
            <w:right w:val="none" w:sz="0" w:space="0" w:color="auto"/>
          </w:divBdr>
        </w:div>
      </w:divsChild>
    </w:div>
    <w:div w:id="611323483">
      <w:bodyDiv w:val="1"/>
      <w:marLeft w:val="0"/>
      <w:marRight w:val="0"/>
      <w:marTop w:val="0"/>
      <w:marBottom w:val="0"/>
      <w:divBdr>
        <w:top w:val="none" w:sz="0" w:space="0" w:color="auto"/>
        <w:left w:val="none" w:sz="0" w:space="0" w:color="auto"/>
        <w:bottom w:val="none" w:sz="0" w:space="0" w:color="auto"/>
        <w:right w:val="none" w:sz="0" w:space="0" w:color="auto"/>
      </w:divBdr>
      <w:divsChild>
        <w:div w:id="339746577">
          <w:marLeft w:val="432"/>
          <w:marRight w:val="0"/>
          <w:marTop w:val="116"/>
          <w:marBottom w:val="0"/>
          <w:divBdr>
            <w:top w:val="none" w:sz="0" w:space="0" w:color="auto"/>
            <w:left w:val="none" w:sz="0" w:space="0" w:color="auto"/>
            <w:bottom w:val="none" w:sz="0" w:space="0" w:color="auto"/>
            <w:right w:val="none" w:sz="0" w:space="0" w:color="auto"/>
          </w:divBdr>
        </w:div>
        <w:div w:id="393359232">
          <w:marLeft w:val="432"/>
          <w:marRight w:val="0"/>
          <w:marTop w:val="116"/>
          <w:marBottom w:val="0"/>
          <w:divBdr>
            <w:top w:val="none" w:sz="0" w:space="0" w:color="auto"/>
            <w:left w:val="none" w:sz="0" w:space="0" w:color="auto"/>
            <w:bottom w:val="none" w:sz="0" w:space="0" w:color="auto"/>
            <w:right w:val="none" w:sz="0" w:space="0" w:color="auto"/>
          </w:divBdr>
        </w:div>
        <w:div w:id="1057895804">
          <w:marLeft w:val="432"/>
          <w:marRight w:val="0"/>
          <w:marTop w:val="116"/>
          <w:marBottom w:val="0"/>
          <w:divBdr>
            <w:top w:val="none" w:sz="0" w:space="0" w:color="auto"/>
            <w:left w:val="none" w:sz="0" w:space="0" w:color="auto"/>
            <w:bottom w:val="none" w:sz="0" w:space="0" w:color="auto"/>
            <w:right w:val="none" w:sz="0" w:space="0" w:color="auto"/>
          </w:divBdr>
        </w:div>
        <w:div w:id="457531988">
          <w:marLeft w:val="432"/>
          <w:marRight w:val="0"/>
          <w:marTop w:val="116"/>
          <w:marBottom w:val="0"/>
          <w:divBdr>
            <w:top w:val="none" w:sz="0" w:space="0" w:color="auto"/>
            <w:left w:val="none" w:sz="0" w:space="0" w:color="auto"/>
            <w:bottom w:val="none" w:sz="0" w:space="0" w:color="auto"/>
            <w:right w:val="none" w:sz="0" w:space="0" w:color="auto"/>
          </w:divBdr>
        </w:div>
        <w:div w:id="1519000257">
          <w:marLeft w:val="432"/>
          <w:marRight w:val="0"/>
          <w:marTop w:val="116"/>
          <w:marBottom w:val="0"/>
          <w:divBdr>
            <w:top w:val="none" w:sz="0" w:space="0" w:color="auto"/>
            <w:left w:val="none" w:sz="0" w:space="0" w:color="auto"/>
            <w:bottom w:val="none" w:sz="0" w:space="0" w:color="auto"/>
            <w:right w:val="none" w:sz="0" w:space="0" w:color="auto"/>
          </w:divBdr>
        </w:div>
        <w:div w:id="442069244">
          <w:marLeft w:val="432"/>
          <w:marRight w:val="0"/>
          <w:marTop w:val="116"/>
          <w:marBottom w:val="0"/>
          <w:divBdr>
            <w:top w:val="none" w:sz="0" w:space="0" w:color="auto"/>
            <w:left w:val="none" w:sz="0" w:space="0" w:color="auto"/>
            <w:bottom w:val="none" w:sz="0" w:space="0" w:color="auto"/>
            <w:right w:val="none" w:sz="0" w:space="0" w:color="auto"/>
          </w:divBdr>
        </w:div>
      </w:divsChild>
    </w:div>
    <w:div w:id="673264974">
      <w:bodyDiv w:val="1"/>
      <w:marLeft w:val="0"/>
      <w:marRight w:val="0"/>
      <w:marTop w:val="0"/>
      <w:marBottom w:val="0"/>
      <w:divBdr>
        <w:top w:val="none" w:sz="0" w:space="0" w:color="auto"/>
        <w:left w:val="none" w:sz="0" w:space="0" w:color="auto"/>
        <w:bottom w:val="none" w:sz="0" w:space="0" w:color="auto"/>
        <w:right w:val="none" w:sz="0" w:space="0" w:color="auto"/>
      </w:divBdr>
    </w:div>
    <w:div w:id="840242650">
      <w:bodyDiv w:val="1"/>
      <w:marLeft w:val="0"/>
      <w:marRight w:val="0"/>
      <w:marTop w:val="0"/>
      <w:marBottom w:val="0"/>
      <w:divBdr>
        <w:top w:val="none" w:sz="0" w:space="0" w:color="auto"/>
        <w:left w:val="none" w:sz="0" w:space="0" w:color="auto"/>
        <w:bottom w:val="none" w:sz="0" w:space="0" w:color="auto"/>
        <w:right w:val="none" w:sz="0" w:space="0" w:color="auto"/>
      </w:divBdr>
      <w:divsChild>
        <w:div w:id="84108285">
          <w:marLeft w:val="432"/>
          <w:marRight w:val="0"/>
          <w:marTop w:val="116"/>
          <w:marBottom w:val="0"/>
          <w:divBdr>
            <w:top w:val="none" w:sz="0" w:space="0" w:color="auto"/>
            <w:left w:val="none" w:sz="0" w:space="0" w:color="auto"/>
            <w:bottom w:val="none" w:sz="0" w:space="0" w:color="auto"/>
            <w:right w:val="none" w:sz="0" w:space="0" w:color="auto"/>
          </w:divBdr>
        </w:div>
        <w:div w:id="1733500835">
          <w:marLeft w:val="432"/>
          <w:marRight w:val="0"/>
          <w:marTop w:val="116"/>
          <w:marBottom w:val="0"/>
          <w:divBdr>
            <w:top w:val="none" w:sz="0" w:space="0" w:color="auto"/>
            <w:left w:val="none" w:sz="0" w:space="0" w:color="auto"/>
            <w:bottom w:val="none" w:sz="0" w:space="0" w:color="auto"/>
            <w:right w:val="none" w:sz="0" w:space="0" w:color="auto"/>
          </w:divBdr>
        </w:div>
        <w:div w:id="1409040861">
          <w:marLeft w:val="432"/>
          <w:marRight w:val="0"/>
          <w:marTop w:val="116"/>
          <w:marBottom w:val="0"/>
          <w:divBdr>
            <w:top w:val="none" w:sz="0" w:space="0" w:color="auto"/>
            <w:left w:val="none" w:sz="0" w:space="0" w:color="auto"/>
            <w:bottom w:val="none" w:sz="0" w:space="0" w:color="auto"/>
            <w:right w:val="none" w:sz="0" w:space="0" w:color="auto"/>
          </w:divBdr>
        </w:div>
        <w:div w:id="433407515">
          <w:marLeft w:val="432"/>
          <w:marRight w:val="0"/>
          <w:marTop w:val="116"/>
          <w:marBottom w:val="0"/>
          <w:divBdr>
            <w:top w:val="none" w:sz="0" w:space="0" w:color="auto"/>
            <w:left w:val="none" w:sz="0" w:space="0" w:color="auto"/>
            <w:bottom w:val="none" w:sz="0" w:space="0" w:color="auto"/>
            <w:right w:val="none" w:sz="0" w:space="0" w:color="auto"/>
          </w:divBdr>
        </w:div>
        <w:div w:id="511603955">
          <w:marLeft w:val="432"/>
          <w:marRight w:val="0"/>
          <w:marTop w:val="116"/>
          <w:marBottom w:val="0"/>
          <w:divBdr>
            <w:top w:val="none" w:sz="0" w:space="0" w:color="auto"/>
            <w:left w:val="none" w:sz="0" w:space="0" w:color="auto"/>
            <w:bottom w:val="none" w:sz="0" w:space="0" w:color="auto"/>
            <w:right w:val="none" w:sz="0" w:space="0" w:color="auto"/>
          </w:divBdr>
        </w:div>
        <w:div w:id="601454655">
          <w:marLeft w:val="432"/>
          <w:marRight w:val="0"/>
          <w:marTop w:val="116"/>
          <w:marBottom w:val="0"/>
          <w:divBdr>
            <w:top w:val="none" w:sz="0" w:space="0" w:color="auto"/>
            <w:left w:val="none" w:sz="0" w:space="0" w:color="auto"/>
            <w:bottom w:val="none" w:sz="0" w:space="0" w:color="auto"/>
            <w:right w:val="none" w:sz="0" w:space="0" w:color="auto"/>
          </w:divBdr>
        </w:div>
      </w:divsChild>
    </w:div>
    <w:div w:id="969819746">
      <w:bodyDiv w:val="1"/>
      <w:marLeft w:val="0"/>
      <w:marRight w:val="0"/>
      <w:marTop w:val="0"/>
      <w:marBottom w:val="0"/>
      <w:divBdr>
        <w:top w:val="none" w:sz="0" w:space="0" w:color="auto"/>
        <w:left w:val="none" w:sz="0" w:space="0" w:color="auto"/>
        <w:bottom w:val="none" w:sz="0" w:space="0" w:color="auto"/>
        <w:right w:val="none" w:sz="0" w:space="0" w:color="auto"/>
      </w:divBdr>
      <w:divsChild>
        <w:div w:id="1321738626">
          <w:marLeft w:val="432"/>
          <w:marRight w:val="0"/>
          <w:marTop w:val="116"/>
          <w:marBottom w:val="0"/>
          <w:divBdr>
            <w:top w:val="none" w:sz="0" w:space="0" w:color="auto"/>
            <w:left w:val="none" w:sz="0" w:space="0" w:color="auto"/>
            <w:bottom w:val="none" w:sz="0" w:space="0" w:color="auto"/>
            <w:right w:val="none" w:sz="0" w:space="0" w:color="auto"/>
          </w:divBdr>
        </w:div>
        <w:div w:id="239490212">
          <w:marLeft w:val="432"/>
          <w:marRight w:val="0"/>
          <w:marTop w:val="116"/>
          <w:marBottom w:val="0"/>
          <w:divBdr>
            <w:top w:val="none" w:sz="0" w:space="0" w:color="auto"/>
            <w:left w:val="none" w:sz="0" w:space="0" w:color="auto"/>
            <w:bottom w:val="none" w:sz="0" w:space="0" w:color="auto"/>
            <w:right w:val="none" w:sz="0" w:space="0" w:color="auto"/>
          </w:divBdr>
        </w:div>
        <w:div w:id="1184634971">
          <w:marLeft w:val="432"/>
          <w:marRight w:val="0"/>
          <w:marTop w:val="116"/>
          <w:marBottom w:val="0"/>
          <w:divBdr>
            <w:top w:val="none" w:sz="0" w:space="0" w:color="auto"/>
            <w:left w:val="none" w:sz="0" w:space="0" w:color="auto"/>
            <w:bottom w:val="none" w:sz="0" w:space="0" w:color="auto"/>
            <w:right w:val="none" w:sz="0" w:space="0" w:color="auto"/>
          </w:divBdr>
        </w:div>
        <w:div w:id="1610698367">
          <w:marLeft w:val="432"/>
          <w:marRight w:val="0"/>
          <w:marTop w:val="116"/>
          <w:marBottom w:val="0"/>
          <w:divBdr>
            <w:top w:val="none" w:sz="0" w:space="0" w:color="auto"/>
            <w:left w:val="none" w:sz="0" w:space="0" w:color="auto"/>
            <w:bottom w:val="none" w:sz="0" w:space="0" w:color="auto"/>
            <w:right w:val="none" w:sz="0" w:space="0" w:color="auto"/>
          </w:divBdr>
        </w:div>
        <w:div w:id="2108429645">
          <w:marLeft w:val="432"/>
          <w:marRight w:val="0"/>
          <w:marTop w:val="116"/>
          <w:marBottom w:val="0"/>
          <w:divBdr>
            <w:top w:val="none" w:sz="0" w:space="0" w:color="auto"/>
            <w:left w:val="none" w:sz="0" w:space="0" w:color="auto"/>
            <w:bottom w:val="none" w:sz="0" w:space="0" w:color="auto"/>
            <w:right w:val="none" w:sz="0" w:space="0" w:color="auto"/>
          </w:divBdr>
        </w:div>
      </w:divsChild>
    </w:div>
    <w:div w:id="1204514754">
      <w:bodyDiv w:val="1"/>
      <w:marLeft w:val="0"/>
      <w:marRight w:val="0"/>
      <w:marTop w:val="0"/>
      <w:marBottom w:val="0"/>
      <w:divBdr>
        <w:top w:val="none" w:sz="0" w:space="0" w:color="auto"/>
        <w:left w:val="none" w:sz="0" w:space="0" w:color="auto"/>
        <w:bottom w:val="none" w:sz="0" w:space="0" w:color="auto"/>
        <w:right w:val="none" w:sz="0" w:space="0" w:color="auto"/>
      </w:divBdr>
      <w:divsChild>
        <w:div w:id="1100418031">
          <w:marLeft w:val="432"/>
          <w:marRight w:val="0"/>
          <w:marTop w:val="116"/>
          <w:marBottom w:val="0"/>
          <w:divBdr>
            <w:top w:val="none" w:sz="0" w:space="0" w:color="auto"/>
            <w:left w:val="none" w:sz="0" w:space="0" w:color="auto"/>
            <w:bottom w:val="none" w:sz="0" w:space="0" w:color="auto"/>
            <w:right w:val="none" w:sz="0" w:space="0" w:color="auto"/>
          </w:divBdr>
        </w:div>
        <w:div w:id="1811482954">
          <w:marLeft w:val="432"/>
          <w:marRight w:val="0"/>
          <w:marTop w:val="116"/>
          <w:marBottom w:val="0"/>
          <w:divBdr>
            <w:top w:val="none" w:sz="0" w:space="0" w:color="auto"/>
            <w:left w:val="none" w:sz="0" w:space="0" w:color="auto"/>
            <w:bottom w:val="none" w:sz="0" w:space="0" w:color="auto"/>
            <w:right w:val="none" w:sz="0" w:space="0" w:color="auto"/>
          </w:divBdr>
        </w:div>
        <w:div w:id="1453865620">
          <w:marLeft w:val="432"/>
          <w:marRight w:val="0"/>
          <w:marTop w:val="116"/>
          <w:marBottom w:val="0"/>
          <w:divBdr>
            <w:top w:val="none" w:sz="0" w:space="0" w:color="auto"/>
            <w:left w:val="none" w:sz="0" w:space="0" w:color="auto"/>
            <w:bottom w:val="none" w:sz="0" w:space="0" w:color="auto"/>
            <w:right w:val="none" w:sz="0" w:space="0" w:color="auto"/>
          </w:divBdr>
        </w:div>
        <w:div w:id="1620335549">
          <w:marLeft w:val="432"/>
          <w:marRight w:val="0"/>
          <w:marTop w:val="116"/>
          <w:marBottom w:val="0"/>
          <w:divBdr>
            <w:top w:val="none" w:sz="0" w:space="0" w:color="auto"/>
            <w:left w:val="none" w:sz="0" w:space="0" w:color="auto"/>
            <w:bottom w:val="none" w:sz="0" w:space="0" w:color="auto"/>
            <w:right w:val="none" w:sz="0" w:space="0" w:color="auto"/>
          </w:divBdr>
        </w:div>
        <w:div w:id="92017914">
          <w:marLeft w:val="432"/>
          <w:marRight w:val="0"/>
          <w:marTop w:val="116"/>
          <w:marBottom w:val="0"/>
          <w:divBdr>
            <w:top w:val="none" w:sz="0" w:space="0" w:color="auto"/>
            <w:left w:val="none" w:sz="0" w:space="0" w:color="auto"/>
            <w:bottom w:val="none" w:sz="0" w:space="0" w:color="auto"/>
            <w:right w:val="none" w:sz="0" w:space="0" w:color="auto"/>
          </w:divBdr>
        </w:div>
      </w:divsChild>
    </w:div>
    <w:div w:id="1273590403">
      <w:bodyDiv w:val="1"/>
      <w:marLeft w:val="0"/>
      <w:marRight w:val="0"/>
      <w:marTop w:val="0"/>
      <w:marBottom w:val="0"/>
      <w:divBdr>
        <w:top w:val="none" w:sz="0" w:space="0" w:color="auto"/>
        <w:left w:val="none" w:sz="0" w:space="0" w:color="auto"/>
        <w:bottom w:val="none" w:sz="0" w:space="0" w:color="auto"/>
        <w:right w:val="none" w:sz="0" w:space="0" w:color="auto"/>
      </w:divBdr>
      <w:divsChild>
        <w:div w:id="119079400">
          <w:marLeft w:val="432"/>
          <w:marRight w:val="0"/>
          <w:marTop w:val="116"/>
          <w:marBottom w:val="0"/>
          <w:divBdr>
            <w:top w:val="none" w:sz="0" w:space="0" w:color="auto"/>
            <w:left w:val="none" w:sz="0" w:space="0" w:color="auto"/>
            <w:bottom w:val="none" w:sz="0" w:space="0" w:color="auto"/>
            <w:right w:val="none" w:sz="0" w:space="0" w:color="auto"/>
          </w:divBdr>
        </w:div>
        <w:div w:id="831026747">
          <w:marLeft w:val="432"/>
          <w:marRight w:val="0"/>
          <w:marTop w:val="116"/>
          <w:marBottom w:val="0"/>
          <w:divBdr>
            <w:top w:val="none" w:sz="0" w:space="0" w:color="auto"/>
            <w:left w:val="none" w:sz="0" w:space="0" w:color="auto"/>
            <w:bottom w:val="none" w:sz="0" w:space="0" w:color="auto"/>
            <w:right w:val="none" w:sz="0" w:space="0" w:color="auto"/>
          </w:divBdr>
        </w:div>
        <w:div w:id="1575819187">
          <w:marLeft w:val="432"/>
          <w:marRight w:val="0"/>
          <w:marTop w:val="116"/>
          <w:marBottom w:val="0"/>
          <w:divBdr>
            <w:top w:val="none" w:sz="0" w:space="0" w:color="auto"/>
            <w:left w:val="none" w:sz="0" w:space="0" w:color="auto"/>
            <w:bottom w:val="none" w:sz="0" w:space="0" w:color="auto"/>
            <w:right w:val="none" w:sz="0" w:space="0" w:color="auto"/>
          </w:divBdr>
        </w:div>
      </w:divsChild>
    </w:div>
    <w:div w:id="2042851165">
      <w:bodyDiv w:val="1"/>
      <w:marLeft w:val="0"/>
      <w:marRight w:val="0"/>
      <w:marTop w:val="0"/>
      <w:marBottom w:val="0"/>
      <w:divBdr>
        <w:top w:val="none" w:sz="0" w:space="0" w:color="auto"/>
        <w:left w:val="none" w:sz="0" w:space="0" w:color="auto"/>
        <w:bottom w:val="none" w:sz="0" w:space="0" w:color="auto"/>
        <w:right w:val="none" w:sz="0" w:space="0" w:color="auto"/>
      </w:divBdr>
      <w:divsChild>
        <w:div w:id="1453596261">
          <w:marLeft w:val="432"/>
          <w:marRight w:val="0"/>
          <w:marTop w:val="116"/>
          <w:marBottom w:val="0"/>
          <w:divBdr>
            <w:top w:val="none" w:sz="0" w:space="0" w:color="auto"/>
            <w:left w:val="none" w:sz="0" w:space="0" w:color="auto"/>
            <w:bottom w:val="none" w:sz="0" w:space="0" w:color="auto"/>
            <w:right w:val="none" w:sz="0" w:space="0" w:color="auto"/>
          </w:divBdr>
        </w:div>
        <w:div w:id="490217331">
          <w:marLeft w:val="432"/>
          <w:marRight w:val="0"/>
          <w:marTop w:val="116"/>
          <w:marBottom w:val="0"/>
          <w:divBdr>
            <w:top w:val="none" w:sz="0" w:space="0" w:color="auto"/>
            <w:left w:val="none" w:sz="0" w:space="0" w:color="auto"/>
            <w:bottom w:val="none" w:sz="0" w:space="0" w:color="auto"/>
            <w:right w:val="none" w:sz="0" w:space="0" w:color="auto"/>
          </w:divBdr>
        </w:div>
        <w:div w:id="425462309">
          <w:marLeft w:val="432"/>
          <w:marRight w:val="0"/>
          <w:marTop w:val="116"/>
          <w:marBottom w:val="0"/>
          <w:divBdr>
            <w:top w:val="none" w:sz="0" w:space="0" w:color="auto"/>
            <w:left w:val="none" w:sz="0" w:space="0" w:color="auto"/>
            <w:bottom w:val="none" w:sz="0" w:space="0" w:color="auto"/>
            <w:right w:val="none" w:sz="0" w:space="0" w:color="auto"/>
          </w:divBdr>
        </w:div>
        <w:div w:id="104386764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va-academy.ch" TargetMode="External"/><Relationship Id="rId13" Type="http://schemas.openxmlformats.org/officeDocument/2006/relationships/hyperlink" Target="http://www.crisisgroup.org/en/publication-type/crisiswatch.aspx" TargetMode="External"/><Relationship Id="rId18" Type="http://schemas.openxmlformats.org/officeDocument/2006/relationships/hyperlink" Target="http://www.un.org/en/peacekeeping/operations/current.shtml" TargetMode="External"/><Relationship Id="rId3" Type="http://schemas.openxmlformats.org/officeDocument/2006/relationships/settings" Target="settings.xml"/><Relationship Id="rId21" Type="http://schemas.openxmlformats.org/officeDocument/2006/relationships/hyperlink" Target="http://www.sec.gov/news/press/2012/2012-163.htm" TargetMode="External"/><Relationship Id="rId7" Type="http://schemas.openxmlformats.org/officeDocument/2006/relationships/hyperlink" Target="http://www.ohchr.org/EN/Issues/Pages/WhatareHumanRights.aspx" TargetMode="External"/><Relationship Id="rId12" Type="http://schemas.openxmlformats.org/officeDocument/2006/relationships/hyperlink" Target="http://www.crisisgroup.org/" TargetMode="External"/><Relationship Id="rId17" Type="http://schemas.openxmlformats.org/officeDocument/2006/relationships/hyperlink" Target="http://www.ohchr.org/Documents/Publications/GuidingPrinciplesBusinessHR_EN.pdf" TargetMode="External"/><Relationship Id="rId2" Type="http://schemas.openxmlformats.org/officeDocument/2006/relationships/styles" Target="styles.xml"/><Relationship Id="rId16" Type="http://schemas.openxmlformats.org/officeDocument/2006/relationships/hyperlink" Target="http://www.pcr.uu.se/research/UCDP/" TargetMode="External"/><Relationship Id="rId20" Type="http://schemas.openxmlformats.org/officeDocument/2006/relationships/hyperlink" Target="http://www.state.gov/j/drl/rls/hrrpt/" TargetMode="External"/><Relationship Id="rId1" Type="http://schemas.openxmlformats.org/officeDocument/2006/relationships/numbering" Target="numbering.xml"/><Relationship Id="rId6" Type="http://schemas.openxmlformats.org/officeDocument/2006/relationships/hyperlink" Target="http://www.oecd.org/fr/daf/inv/mne/mining.htm" TargetMode="External"/><Relationship Id="rId11" Type="http://schemas.openxmlformats.org/officeDocument/2006/relationships/hyperlink" Target="http://www.international-alert.org/resources/publications/conflict-sensitive-business-practice-guidance-extractive-industries" TargetMode="External"/><Relationship Id="rId24" Type="http://schemas.microsoft.com/office/2007/relationships/stylesWithEffects" Target="stylesWithEffects.xml"/><Relationship Id="rId5" Type="http://schemas.openxmlformats.org/officeDocument/2006/relationships/hyperlink" Target="http://www.international-alert.org/resources/publications/conflict-sensitive-business-practice-guidance-extractive-industries" TargetMode="External"/><Relationship Id="rId15" Type="http://schemas.openxmlformats.org/officeDocument/2006/relationships/hyperlink" Target="http://www.srz.com/conflict_minerals_resource_center/" TargetMode="External"/><Relationship Id="rId23" Type="http://schemas.openxmlformats.org/officeDocument/2006/relationships/theme" Target="theme/theme1.xml"/><Relationship Id="rId10" Type="http://schemas.openxmlformats.org/officeDocument/2006/relationships/hyperlink" Target="http://www.international-alert.org/" TargetMode="External"/><Relationship Id="rId19" Type="http://schemas.openxmlformats.org/officeDocument/2006/relationships/hyperlink" Target="http://www.un.org/en/sc/documents/resolutions/index.shtml" TargetMode="External"/><Relationship Id="rId4" Type="http://schemas.openxmlformats.org/officeDocument/2006/relationships/webSettings" Target="webSettings.xml"/><Relationship Id="rId9" Type="http://schemas.openxmlformats.org/officeDocument/2006/relationships/hyperlink" Target="http://www.hiik.de/en/" TargetMode="External"/><Relationship Id="rId14" Type="http://schemas.openxmlformats.org/officeDocument/2006/relationships/hyperlink" Target="http://www.oecd.org/fr/daf/inv/mne/mining.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44</cp:revision>
  <cp:lastPrinted>2013-06-04T09:24:00Z</cp:lastPrinted>
  <dcterms:created xsi:type="dcterms:W3CDTF">2013-03-22T12:00:00Z</dcterms:created>
  <dcterms:modified xsi:type="dcterms:W3CDTF">2013-06-04T09:25:00Z</dcterms:modified>
</cp:coreProperties>
</file>