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4B1BAC4" w14:textId="77777777" w:rsidR="00BC6C93" w:rsidRDefault="00D23763" w:rsidP="001647C7">
      <w:pPr>
        <w:pStyle w:val="Titre1"/>
        <w:shd w:val="clear" w:color="auto" w:fill="304C5A"/>
        <w:rPr>
          <w:rFonts w:ascii="Colaborate-Thin" w:hAnsi="Colaborate-Thin"/>
          <w:color w:val="A0A8AF"/>
        </w:rPr>
      </w:pPr>
      <w:r>
        <w:rPr>
          <w:rFonts w:ascii="Colaborate-Thin" w:hAnsi="Colaborate-Thin"/>
          <w:color w:val="A0A8AF"/>
        </w:rPr>
        <w:t>Outil 1E.1 : exemple de mécanisme de gestion des griefs</w:t>
      </w:r>
    </w:p>
    <w:p w14:paraId="577BE1B7" w14:textId="5BB2C80E" w:rsidR="00D23763" w:rsidRPr="003F5E2B" w:rsidRDefault="00D23763" w:rsidP="001647C7">
      <w:pPr>
        <w:pStyle w:val="Titre1"/>
        <w:shd w:val="clear" w:color="auto" w:fill="304C5A"/>
        <w:rPr>
          <w:rFonts w:ascii="Colaborate-Thin" w:hAnsi="Colaborate-Thin"/>
          <w:color w:val="A0A8AF"/>
        </w:rPr>
      </w:pPr>
      <w:r>
        <w:rPr>
          <w:rFonts w:ascii="Colaborate-Thin" w:hAnsi="Colaborate-Thin"/>
          <w:color w:val="A0A8AF"/>
        </w:rPr>
        <w:t xml:space="preserve"> </w:t>
      </w:r>
    </w:p>
    <w:p w14:paraId="1EE71295" w14:textId="77777777" w:rsidR="00D23763" w:rsidRPr="002225A4" w:rsidRDefault="00D23763" w:rsidP="00D23763">
      <w:pPr>
        <w:spacing w:after="0" w:line="240" w:lineRule="auto"/>
        <w:rPr>
          <w:rFonts w:ascii="Colaborate-Thin" w:hAnsi="Colaborate-Thin" w:cstheme="minorHAnsi"/>
          <w:lang w:val="fr-BE"/>
        </w:rPr>
      </w:pPr>
    </w:p>
    <w:p w14:paraId="468F1AC6" w14:textId="723EB0AE" w:rsidR="00D23763" w:rsidRPr="00D23763" w:rsidRDefault="00D23763" w:rsidP="00D23763">
      <w:pPr>
        <w:spacing w:after="0" w:line="240" w:lineRule="auto"/>
        <w:rPr>
          <w:rFonts w:ascii="Colaborate-Thin" w:hAnsi="Colaborate-Thin" w:cstheme="minorHAnsi"/>
        </w:rPr>
      </w:pPr>
      <w:r>
        <w:rPr>
          <w:rFonts w:ascii="Colaborate-Thin" w:hAnsi="Colaborate-Thin"/>
        </w:rPr>
        <w:t>[</w:t>
      </w:r>
      <w:r>
        <w:rPr>
          <w:rFonts w:ascii="Colaborate-Thin" w:hAnsi="Colaborate-Thin"/>
          <w:i/>
          <w:color w:val="0070C0"/>
        </w:rPr>
        <w:t>Nom de l’entreprise</w:t>
      </w:r>
      <w:r>
        <w:rPr>
          <w:rFonts w:ascii="Colaborate-Thin" w:hAnsi="Colaborate-Thin"/>
        </w:rPr>
        <w:t>] a mis en place la présente procédure de gestion des griefs pour recevoir des plaintes sur des circonstances dans la chaîne d’approvisionnement impliquant des diamants/pierres de couleur provenant de zones de conflit ou à haut risque.</w:t>
      </w:r>
    </w:p>
    <w:p w14:paraId="7B02E9FB" w14:textId="77777777" w:rsidR="00D23763" w:rsidRPr="002225A4" w:rsidRDefault="00D23763" w:rsidP="00D23763">
      <w:pPr>
        <w:spacing w:after="0" w:line="240" w:lineRule="auto"/>
        <w:rPr>
          <w:rFonts w:ascii="Colaborate-Thin" w:hAnsi="Colaborate-Thin" w:cstheme="minorHAnsi"/>
          <w:lang w:val="fr-BE"/>
        </w:rPr>
      </w:pPr>
    </w:p>
    <w:p w14:paraId="39D72A09" w14:textId="77777777" w:rsidR="00D23763" w:rsidRPr="00D23763" w:rsidRDefault="00D23763" w:rsidP="00D23763">
      <w:pPr>
        <w:spacing w:after="0" w:line="240" w:lineRule="auto"/>
        <w:rPr>
          <w:rFonts w:ascii="Colaborate-Thin" w:hAnsi="Colaborate-Thin" w:cstheme="minorHAnsi"/>
        </w:rPr>
      </w:pPr>
      <w:r>
        <w:rPr>
          <w:rFonts w:ascii="Colaborate-Thin" w:hAnsi="Colaborate-Thin"/>
        </w:rPr>
        <w:t>[</w:t>
      </w:r>
      <w:r>
        <w:rPr>
          <w:rFonts w:ascii="Colaborate-Thin" w:hAnsi="Colaborate-Thin"/>
          <w:i/>
          <w:color w:val="0070C0"/>
        </w:rPr>
        <w:t>Nom du haut responsable</w:t>
      </w:r>
      <w:r>
        <w:rPr>
          <w:rFonts w:ascii="Colaborate-Thin" w:hAnsi="Colaborate-Thin"/>
        </w:rPr>
        <w:t>] est responsable de la mise en œuvre et de l’examen de cette procédure.</w:t>
      </w:r>
    </w:p>
    <w:p w14:paraId="0E746BD2" w14:textId="77777777" w:rsidR="00D23763" w:rsidRPr="002225A4" w:rsidRDefault="00D23763" w:rsidP="00D23763">
      <w:pPr>
        <w:spacing w:after="0" w:line="240" w:lineRule="auto"/>
        <w:rPr>
          <w:rFonts w:ascii="Colaborate-Thin" w:hAnsi="Colaborate-Thin" w:cstheme="minorHAnsi"/>
          <w:lang w:val="fr-BE"/>
        </w:rPr>
      </w:pPr>
    </w:p>
    <w:p w14:paraId="235914E2" w14:textId="77777777" w:rsidR="00D23763" w:rsidRPr="00D23763" w:rsidRDefault="00D23763" w:rsidP="00D23763">
      <w:pPr>
        <w:spacing w:after="0" w:line="240" w:lineRule="auto"/>
        <w:rPr>
          <w:rFonts w:ascii="Colaborate-Thin" w:hAnsi="Colaborate-Thin" w:cstheme="minorHAnsi"/>
        </w:rPr>
      </w:pPr>
      <w:r>
        <w:rPr>
          <w:rFonts w:ascii="Colaborate-Thin" w:hAnsi="Colaborate-Thin"/>
        </w:rPr>
        <w:t>Les préoccupations peuvent être exprimées par les parties intéressées par email ou par téléphone :</w:t>
      </w:r>
    </w:p>
    <w:p w14:paraId="2B82E16B" w14:textId="77777777" w:rsidR="00D23763" w:rsidRPr="00D23763" w:rsidRDefault="00D23763" w:rsidP="00D23763">
      <w:pPr>
        <w:spacing w:after="0" w:line="240" w:lineRule="auto"/>
        <w:rPr>
          <w:rFonts w:ascii="Colaborate-Thin" w:hAnsi="Colaborate-Thin" w:cstheme="minorHAnsi"/>
        </w:rPr>
      </w:pPr>
      <w:r>
        <w:rPr>
          <w:rFonts w:ascii="Colaborate-Thin" w:hAnsi="Colaborate-Thin"/>
        </w:rPr>
        <w:t>[</w:t>
      </w:r>
      <w:r>
        <w:rPr>
          <w:rFonts w:ascii="Colaborate-Thin" w:hAnsi="Colaborate-Thin"/>
          <w:i/>
          <w:color w:val="0070C0"/>
        </w:rPr>
        <w:t>Nom</w:t>
      </w:r>
      <w:r>
        <w:rPr>
          <w:rFonts w:ascii="Colaborate-Thin" w:hAnsi="Colaborate-Thin"/>
        </w:rPr>
        <w:t>]</w:t>
      </w:r>
    </w:p>
    <w:p w14:paraId="570E8C01" w14:textId="77777777" w:rsidR="00D23763" w:rsidRPr="00D23763" w:rsidRDefault="00D23763" w:rsidP="00D23763">
      <w:pPr>
        <w:spacing w:after="0" w:line="240" w:lineRule="auto"/>
        <w:rPr>
          <w:rFonts w:ascii="Colaborate-Thin" w:hAnsi="Colaborate-Thin" w:cstheme="minorHAnsi"/>
        </w:rPr>
      </w:pPr>
      <w:r>
        <w:rPr>
          <w:rFonts w:ascii="Colaborate-Thin" w:hAnsi="Colaborate-Thin"/>
          <w:i/>
        </w:rPr>
        <w:t>[</w:t>
      </w:r>
      <w:r>
        <w:rPr>
          <w:rFonts w:ascii="Colaborate-Thin" w:hAnsi="Colaborate-Thin"/>
          <w:i/>
          <w:color w:val="0070C0"/>
        </w:rPr>
        <w:t>Téléphone</w:t>
      </w:r>
      <w:r>
        <w:rPr>
          <w:rFonts w:ascii="Colaborate-Thin" w:hAnsi="Colaborate-Thin"/>
        </w:rPr>
        <w:t>]</w:t>
      </w:r>
    </w:p>
    <w:p w14:paraId="641DDCCD" w14:textId="77777777" w:rsidR="00D23763" w:rsidRPr="00D23763" w:rsidRDefault="00D23763" w:rsidP="00D23763">
      <w:pPr>
        <w:spacing w:after="0" w:line="240" w:lineRule="auto"/>
        <w:rPr>
          <w:rFonts w:ascii="Colaborate-Thin" w:hAnsi="Colaborate-Thin" w:cstheme="minorHAnsi"/>
        </w:rPr>
      </w:pPr>
      <w:r>
        <w:rPr>
          <w:rFonts w:ascii="Colaborate-Thin" w:hAnsi="Colaborate-Thin"/>
        </w:rPr>
        <w:t>[</w:t>
      </w:r>
      <w:r>
        <w:rPr>
          <w:rFonts w:ascii="Colaborate-Thin" w:hAnsi="Colaborate-Thin"/>
          <w:i/>
          <w:iCs/>
        </w:rPr>
        <w:t>Téléphone mobile</w:t>
      </w:r>
      <w:r>
        <w:rPr>
          <w:rFonts w:ascii="Colaborate-Thin" w:hAnsi="Colaborate-Thin"/>
        </w:rPr>
        <w:t>]</w:t>
      </w:r>
    </w:p>
    <w:p w14:paraId="68AC8787" w14:textId="529B9254" w:rsidR="00D23763" w:rsidRPr="00D23763" w:rsidRDefault="00D23763" w:rsidP="00D23763">
      <w:pPr>
        <w:spacing w:after="0" w:line="240" w:lineRule="auto"/>
        <w:rPr>
          <w:rFonts w:ascii="Colaborate-Thin" w:hAnsi="Colaborate-Thin" w:cstheme="minorHAnsi"/>
        </w:rPr>
      </w:pPr>
      <w:r>
        <w:rPr>
          <w:rFonts w:ascii="Colaborate-Thin" w:hAnsi="Colaborate-Thin"/>
          <w:i/>
        </w:rPr>
        <w:t>[</w:t>
      </w:r>
      <w:r>
        <w:rPr>
          <w:rFonts w:ascii="Colaborate-Thin" w:hAnsi="Colaborate-Thin"/>
          <w:i/>
          <w:color w:val="0070C0"/>
        </w:rPr>
        <w:t>Adresse électronique</w:t>
      </w:r>
      <w:r>
        <w:rPr>
          <w:rFonts w:ascii="Colaborate-Thin" w:hAnsi="Colaborate-Thin"/>
          <w:i/>
        </w:rPr>
        <w:t>]</w:t>
      </w:r>
    </w:p>
    <w:p w14:paraId="3DD824D4" w14:textId="77777777" w:rsidR="00D23763" w:rsidRPr="002225A4" w:rsidRDefault="00D23763" w:rsidP="00D23763">
      <w:pPr>
        <w:spacing w:after="0" w:line="240" w:lineRule="auto"/>
        <w:rPr>
          <w:rFonts w:ascii="Colaborate-Thin" w:hAnsi="Colaborate-Thin" w:cstheme="minorHAnsi"/>
          <w:lang w:val="fr-BE"/>
        </w:rPr>
      </w:pPr>
    </w:p>
    <w:p w14:paraId="2809AA3D" w14:textId="77777777" w:rsidR="00D23763" w:rsidRPr="00D23763" w:rsidRDefault="00D23763" w:rsidP="00D23763">
      <w:pPr>
        <w:spacing w:after="0" w:line="240" w:lineRule="auto"/>
        <w:rPr>
          <w:rFonts w:ascii="Colaborate-Thin" w:hAnsi="Colaborate-Thin" w:cstheme="minorHAnsi"/>
        </w:rPr>
      </w:pPr>
      <w:r>
        <w:rPr>
          <w:rFonts w:ascii="Colaborate-Thin" w:hAnsi="Colaborate-Thin"/>
        </w:rPr>
        <w:t>À la réception de la plainte, nous nous efforcerons :</w:t>
      </w:r>
    </w:p>
    <w:p w14:paraId="15D4BC1B" w14:textId="77777777" w:rsidR="00D23763" w:rsidRPr="00D23763" w:rsidRDefault="00D23763" w:rsidP="00D23763">
      <w:pPr>
        <w:numPr>
          <w:ilvl w:val="0"/>
          <w:numId w:val="1"/>
        </w:numPr>
        <w:spacing w:after="0" w:line="240" w:lineRule="auto"/>
        <w:rPr>
          <w:rFonts w:ascii="Colaborate-Thin" w:hAnsi="Colaborate-Thin" w:cstheme="minorHAnsi"/>
        </w:rPr>
      </w:pPr>
      <w:proofErr w:type="gramStart"/>
      <w:r>
        <w:rPr>
          <w:rFonts w:ascii="Colaborate-Thin" w:hAnsi="Colaborate-Thin"/>
        </w:rPr>
        <w:t>d’obtenir</w:t>
      </w:r>
      <w:proofErr w:type="gramEnd"/>
      <w:r>
        <w:rPr>
          <w:rFonts w:ascii="Colaborate-Thin" w:hAnsi="Colaborate-Thin"/>
        </w:rPr>
        <w:t xml:space="preserve"> un rapport précis de la plainte ;</w:t>
      </w:r>
    </w:p>
    <w:p w14:paraId="1D411866" w14:textId="77777777" w:rsidR="00D23763" w:rsidRPr="00D23763" w:rsidRDefault="00D23763" w:rsidP="00D23763">
      <w:pPr>
        <w:numPr>
          <w:ilvl w:val="0"/>
          <w:numId w:val="1"/>
        </w:numPr>
        <w:spacing w:after="0" w:line="240" w:lineRule="auto"/>
        <w:rPr>
          <w:rFonts w:ascii="Colaborate-Thin" w:hAnsi="Colaborate-Thin" w:cstheme="minorHAnsi"/>
        </w:rPr>
      </w:pPr>
      <w:proofErr w:type="gramStart"/>
      <w:r>
        <w:rPr>
          <w:rFonts w:ascii="Colaborate-Thin" w:hAnsi="Colaborate-Thin"/>
        </w:rPr>
        <w:t>d’expliquer</w:t>
      </w:r>
      <w:proofErr w:type="gramEnd"/>
      <w:r>
        <w:rPr>
          <w:rFonts w:ascii="Colaborate-Thin" w:hAnsi="Colaborate-Thin"/>
        </w:rPr>
        <w:t xml:space="preserve"> notre procédure de traitement des plaintes ;</w:t>
      </w:r>
    </w:p>
    <w:p w14:paraId="6551CA8F" w14:textId="77777777" w:rsidR="00D23763" w:rsidRPr="00D23763" w:rsidRDefault="00D23763" w:rsidP="00D23763">
      <w:pPr>
        <w:numPr>
          <w:ilvl w:val="0"/>
          <w:numId w:val="1"/>
        </w:numPr>
        <w:spacing w:after="0" w:line="240" w:lineRule="auto"/>
        <w:rPr>
          <w:rFonts w:ascii="Colaborate-Thin" w:hAnsi="Colaborate-Thin" w:cstheme="minorHAnsi"/>
        </w:rPr>
      </w:pPr>
      <w:proofErr w:type="gramStart"/>
      <w:r>
        <w:rPr>
          <w:rFonts w:ascii="Colaborate-Thin" w:hAnsi="Colaborate-Thin"/>
        </w:rPr>
        <w:t>d’établir</w:t>
      </w:r>
      <w:proofErr w:type="gramEnd"/>
      <w:r>
        <w:rPr>
          <w:rFonts w:ascii="Colaborate-Thin" w:hAnsi="Colaborate-Thin"/>
        </w:rPr>
        <w:t xml:space="preserve"> la manière dont le plaignant souhaite que celle-ci soit traitée/résolue ;</w:t>
      </w:r>
    </w:p>
    <w:p w14:paraId="0DD4B10F" w14:textId="78473E66" w:rsidR="00D23763" w:rsidRPr="00D23763" w:rsidRDefault="00D23763" w:rsidP="00D23763">
      <w:pPr>
        <w:numPr>
          <w:ilvl w:val="0"/>
          <w:numId w:val="1"/>
        </w:numPr>
        <w:spacing w:after="0" w:line="240" w:lineRule="auto"/>
        <w:rPr>
          <w:rFonts w:ascii="Colaborate-Thin" w:hAnsi="Colaborate-Thin" w:cstheme="minorHAnsi"/>
        </w:rPr>
      </w:pPr>
      <w:proofErr w:type="gramStart"/>
      <w:r>
        <w:rPr>
          <w:rFonts w:ascii="Colaborate-Thin" w:hAnsi="Colaborate-Thin"/>
        </w:rPr>
        <w:t>d’évaluer</w:t>
      </w:r>
      <w:proofErr w:type="gramEnd"/>
      <w:r>
        <w:rPr>
          <w:rFonts w:ascii="Colaborate-Thin" w:hAnsi="Colaborate-Thin"/>
        </w:rPr>
        <w:t xml:space="preserve"> la recevabilité de la plainte et, le cas échéant, de désigner le collaborateur interne chargé de</w:t>
      </w:r>
      <w:r w:rsidR="002225A4">
        <w:rPr>
          <w:rFonts w:ascii="Colaborate-Thin" w:hAnsi="Colaborate-Thin"/>
        </w:rPr>
        <w:t> </w:t>
      </w:r>
      <w:r>
        <w:rPr>
          <w:rFonts w:ascii="Colaborate-Thin" w:hAnsi="Colaborate-Thin"/>
        </w:rPr>
        <w:t>la</w:t>
      </w:r>
      <w:r w:rsidR="002225A4">
        <w:rPr>
          <w:rFonts w:ascii="Colaborate-Thin" w:hAnsi="Colaborate-Thin"/>
        </w:rPr>
        <w:t> </w:t>
      </w:r>
      <w:r>
        <w:rPr>
          <w:rFonts w:ascii="Colaborate-Thin" w:hAnsi="Colaborate-Thin"/>
        </w:rPr>
        <w:t>traiter. Si nous ne sommes pas en mesure de traiter la plainte en interne (par ex. si notre entreprise est trop éloignée du lieu d’origine du problème soulevé dans la plainte), nous pouvons la soumettre à</w:t>
      </w:r>
      <w:r w:rsidR="002225A4">
        <w:rPr>
          <w:rFonts w:ascii="Colaborate-Thin" w:hAnsi="Colaborate-Thin"/>
        </w:rPr>
        <w:t> </w:t>
      </w:r>
      <w:r>
        <w:rPr>
          <w:rFonts w:ascii="Colaborate-Thin" w:hAnsi="Colaborate-Thin"/>
        </w:rPr>
        <w:t>une entité ou institution plus adéquate, comme le fournisseur ou l’organisme industriel pertinent ;</w:t>
      </w:r>
    </w:p>
    <w:p w14:paraId="33994F83" w14:textId="77777777" w:rsidR="00D23763" w:rsidRPr="00D23763" w:rsidRDefault="00D23763" w:rsidP="00D23763">
      <w:pPr>
        <w:numPr>
          <w:ilvl w:val="0"/>
          <w:numId w:val="1"/>
        </w:numPr>
        <w:spacing w:after="0" w:line="240" w:lineRule="auto"/>
        <w:rPr>
          <w:rFonts w:ascii="Colaborate-Thin" w:hAnsi="Colaborate-Thin" w:cstheme="minorHAnsi"/>
        </w:rPr>
      </w:pPr>
      <w:proofErr w:type="gramStart"/>
      <w:r>
        <w:rPr>
          <w:rFonts w:ascii="Colaborate-Thin" w:hAnsi="Colaborate-Thin"/>
        </w:rPr>
        <w:t>d’obtenir</w:t>
      </w:r>
      <w:proofErr w:type="gramEnd"/>
      <w:r>
        <w:rPr>
          <w:rFonts w:ascii="Colaborate-Thin" w:hAnsi="Colaborate-Thin"/>
        </w:rPr>
        <w:t xml:space="preserve"> de plus amples informations, le cas échéant, lorsque le problème peut être traité en interne ;</w:t>
      </w:r>
    </w:p>
    <w:p w14:paraId="1B8C1DDF" w14:textId="77777777" w:rsidR="00D23763" w:rsidRPr="00D23763" w:rsidRDefault="00D23763" w:rsidP="00D23763">
      <w:pPr>
        <w:numPr>
          <w:ilvl w:val="0"/>
          <w:numId w:val="1"/>
        </w:numPr>
        <w:spacing w:after="0" w:line="240" w:lineRule="auto"/>
        <w:rPr>
          <w:rFonts w:ascii="Colaborate-Thin" w:hAnsi="Colaborate-Thin" w:cstheme="minorHAnsi"/>
        </w:rPr>
      </w:pPr>
      <w:proofErr w:type="gramStart"/>
      <w:r>
        <w:rPr>
          <w:rFonts w:ascii="Colaborate-Thin" w:hAnsi="Colaborate-Thin"/>
        </w:rPr>
        <w:t>d’identifier</w:t>
      </w:r>
      <w:proofErr w:type="gramEnd"/>
      <w:r>
        <w:rPr>
          <w:rFonts w:ascii="Colaborate-Thin" w:hAnsi="Colaborate-Thin"/>
        </w:rPr>
        <w:t xml:space="preserve"> toutes les mesures que nous devrions prendre, notamment entendre toutes les parties concernées et effectuer un suivi de la situation ;</w:t>
      </w:r>
    </w:p>
    <w:p w14:paraId="6962C036" w14:textId="77777777" w:rsidR="00D23763" w:rsidRPr="00D23763" w:rsidRDefault="00D23763" w:rsidP="00D23763">
      <w:pPr>
        <w:numPr>
          <w:ilvl w:val="0"/>
          <w:numId w:val="1"/>
        </w:numPr>
        <w:spacing w:after="0" w:line="240" w:lineRule="auto"/>
        <w:rPr>
          <w:rFonts w:ascii="Colaborate-Thin" w:hAnsi="Colaborate-Thin" w:cstheme="minorHAnsi"/>
        </w:rPr>
      </w:pPr>
      <w:proofErr w:type="gramStart"/>
      <w:r>
        <w:rPr>
          <w:rFonts w:ascii="Colaborate-Thin" w:hAnsi="Colaborate-Thin"/>
        </w:rPr>
        <w:t>d’informer</w:t>
      </w:r>
      <w:proofErr w:type="gramEnd"/>
      <w:r>
        <w:rPr>
          <w:rFonts w:ascii="Colaborate-Thin" w:hAnsi="Colaborate-Thin"/>
        </w:rPr>
        <w:t xml:space="preserve"> le plaignant de nos décisions ou conclusions ;</w:t>
      </w:r>
    </w:p>
    <w:p w14:paraId="0C74CD68" w14:textId="732DBA08" w:rsidR="00D23763" w:rsidRPr="00D23763" w:rsidRDefault="00D23763" w:rsidP="00D23763">
      <w:pPr>
        <w:numPr>
          <w:ilvl w:val="0"/>
          <w:numId w:val="1"/>
        </w:numPr>
        <w:spacing w:after="0" w:line="240" w:lineRule="auto"/>
        <w:rPr>
          <w:rFonts w:ascii="Colaborate-Thin" w:hAnsi="Colaborate-Thin" w:cstheme="minorHAnsi"/>
        </w:rPr>
      </w:pPr>
      <w:r>
        <w:rPr>
          <w:rFonts w:ascii="Colaborate-Thin" w:hAnsi="Colaborate-Thin"/>
        </w:rPr>
        <w:t>de conserver les plaintes reçues et la procédure interne suivie dans nos archives durant au moins cinq</w:t>
      </w:r>
      <w:r w:rsidR="002225A4">
        <w:rPr>
          <w:rFonts w:ascii="Colaborate-Thin" w:hAnsi="Colaborate-Thin"/>
        </w:rPr>
        <w:t> </w:t>
      </w:r>
      <w:r>
        <w:rPr>
          <w:rFonts w:ascii="Colaborate-Thin" w:hAnsi="Colaborate-Thin"/>
        </w:rPr>
        <w:t>ans.</w:t>
      </w:r>
    </w:p>
    <w:p w14:paraId="77F8D6EF" w14:textId="77777777" w:rsidR="00D23763" w:rsidRPr="002225A4" w:rsidRDefault="00D23763" w:rsidP="00D23763">
      <w:pPr>
        <w:spacing w:after="0" w:line="240" w:lineRule="auto"/>
        <w:rPr>
          <w:rFonts w:ascii="Colaborate-Thin" w:hAnsi="Colaborate-Thin" w:cstheme="minorHAnsi"/>
          <w:lang w:val="fr-BE"/>
        </w:rPr>
      </w:pPr>
    </w:p>
    <w:p w14:paraId="205A8BF5" w14:textId="77777777" w:rsidR="00D23763" w:rsidRPr="00D23763" w:rsidRDefault="00D23763" w:rsidP="00D23763">
      <w:pPr>
        <w:spacing w:after="0" w:line="240" w:lineRule="auto"/>
        <w:rPr>
          <w:rFonts w:ascii="Colaborate-Thin" w:hAnsi="Colaborate-Thin" w:cstheme="minorHAnsi"/>
        </w:rPr>
      </w:pPr>
      <w:r>
        <w:rPr>
          <w:rFonts w:ascii="Colaborate-Thin" w:hAnsi="Colaborate-Thin"/>
        </w:rPr>
        <w:t>Signé/approuvé par :</w:t>
      </w:r>
    </w:p>
    <w:p w14:paraId="4CB7F6AB" w14:textId="77777777" w:rsidR="00D23763" w:rsidRPr="00D23763" w:rsidRDefault="00D23763" w:rsidP="00D23763">
      <w:pPr>
        <w:spacing w:after="0" w:line="240" w:lineRule="auto"/>
        <w:rPr>
          <w:rFonts w:ascii="Colaborate-Thin" w:hAnsi="Colaborate-Thin" w:cstheme="minorHAnsi"/>
        </w:rPr>
      </w:pPr>
      <w:r>
        <w:rPr>
          <w:rFonts w:ascii="Colaborate-Thin" w:hAnsi="Colaborate-Thin"/>
        </w:rPr>
        <w:t>Date d’effet :</w:t>
      </w:r>
    </w:p>
    <w:p w14:paraId="0D2F1AB1" w14:textId="77777777" w:rsidR="00A40F38" w:rsidRPr="00D23763" w:rsidRDefault="00A40F38" w:rsidP="00D23763">
      <w:pPr>
        <w:rPr>
          <w:rFonts w:ascii="Colaborate-Thin" w:hAnsi="Colaborate-Thin"/>
        </w:rPr>
      </w:pPr>
    </w:p>
    <w:sectPr w:rsidR="00A40F38" w:rsidRPr="00D2376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20102010804080708"/>
    <w:charset w:val="00"/>
    <w:family w:val="decorativ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olaborate-Thin">
    <w:altName w:val="﷽﷽﷽﷽﷽﷽﷽﷽"/>
    <w:panose1 w:val="020B0604020202020204"/>
    <w:charset w:val="00"/>
    <w:family w:val="auto"/>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6B926BF"/>
    <w:multiLevelType w:val="hybridMultilevel"/>
    <w:tmpl w:val="87320FFE"/>
    <w:lvl w:ilvl="0" w:tplc="09F42F76">
      <w:start w:val="1"/>
      <w:numFmt w:val="bullet"/>
      <w:lvlText w:val=""/>
      <w:lvlJc w:val="left"/>
      <w:pPr>
        <w:ind w:left="360" w:hanging="360"/>
      </w:pPr>
      <w:rPr>
        <w:rFonts w:ascii="Symbol" w:hAnsi="Symbol" w:hint="default"/>
        <w:color w:val="auto"/>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3763"/>
    <w:rsid w:val="001647C7"/>
    <w:rsid w:val="002225A4"/>
    <w:rsid w:val="00241717"/>
    <w:rsid w:val="0035487C"/>
    <w:rsid w:val="003F5E2B"/>
    <w:rsid w:val="006B43B4"/>
    <w:rsid w:val="00A40F38"/>
    <w:rsid w:val="00BC6C93"/>
    <w:rsid w:val="00D23763"/>
    <w:rsid w:val="00DF65BC"/>
    <w:rsid w:val="00E7355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8C944B"/>
  <w15:chartTrackingRefBased/>
  <w15:docId w15:val="{06D44636-F097-4768-89F7-8E4850CB87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23763"/>
  </w:style>
  <w:style w:type="paragraph" w:styleId="Titre1">
    <w:name w:val="heading 1"/>
    <w:basedOn w:val="Normal"/>
    <w:next w:val="Normal"/>
    <w:link w:val="Titre1Car"/>
    <w:uiPriority w:val="9"/>
    <w:qFormat/>
    <w:rsid w:val="00D23763"/>
    <w:pPr>
      <w:shd w:val="clear" w:color="auto" w:fill="D9E2F3" w:themeFill="accent1" w:themeFillTint="33"/>
      <w:spacing w:after="0"/>
      <w:outlineLvl w:val="0"/>
    </w:pPr>
    <w:rPr>
      <w:b/>
      <w:color w:val="00B050"/>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D23763"/>
    <w:rPr>
      <w:b/>
      <w:color w:val="00B050"/>
      <w:sz w:val="28"/>
      <w:szCs w:val="28"/>
      <w:shd w:val="clear" w:color="auto" w:fill="D9E2F3" w:themeFill="accent1" w:themeFillTint="33"/>
    </w:rPr>
  </w:style>
  <w:style w:type="character" w:styleId="Marquedecommentaire">
    <w:name w:val="annotation reference"/>
    <w:basedOn w:val="Policepardfaut"/>
    <w:uiPriority w:val="99"/>
    <w:unhideWhenUsed/>
    <w:rsid w:val="00D23763"/>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A18F493F35C7C4FA391B0A2F26ADCA2" ma:contentTypeVersion="11" ma:contentTypeDescription="Create a new document." ma:contentTypeScope="" ma:versionID="eb3ae6039cf4997bcb82800f9e494704">
  <xsd:schema xmlns:xsd="http://www.w3.org/2001/XMLSchema" xmlns:xs="http://www.w3.org/2001/XMLSchema" xmlns:p="http://schemas.microsoft.com/office/2006/metadata/properties" xmlns:ns2="bec99ced-bfee-43d6-9e0a-031d47fc0b52" xmlns:ns3="3118ec7f-5817-4e03-9a07-cdc1a79a8452" targetNamespace="http://schemas.microsoft.com/office/2006/metadata/properties" ma:root="true" ma:fieldsID="623ff45cb452740f5d36ae5d5b7c14bb" ns2:_="" ns3:_="">
    <xsd:import namespace="bec99ced-bfee-43d6-9e0a-031d47fc0b52"/>
    <xsd:import namespace="3118ec7f-5817-4e03-9a07-cdc1a79a845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c99ced-bfee-43d6-9e0a-031d47fc0b5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118ec7f-5817-4e03-9a07-cdc1a79a845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1B8639D-991D-44BF-9F55-89CAD97127E4}"/>
</file>

<file path=customXml/itemProps2.xml><?xml version="1.0" encoding="utf-8"?>
<ds:datastoreItem xmlns:ds="http://schemas.openxmlformats.org/officeDocument/2006/customXml" ds:itemID="{00C832F7-F138-406B-9284-575755A7D99A}"/>
</file>

<file path=customXml/itemProps3.xml><?xml version="1.0" encoding="utf-8"?>
<ds:datastoreItem xmlns:ds="http://schemas.openxmlformats.org/officeDocument/2006/customXml" ds:itemID="{09B4E041-04B9-48AB-B737-01B2D78E4DB5}"/>
</file>

<file path=docProps/app.xml><?xml version="1.0" encoding="utf-8"?>
<Properties xmlns="http://schemas.openxmlformats.org/officeDocument/2006/extended-properties" xmlns:vt="http://schemas.openxmlformats.org/officeDocument/2006/docPropsVTypes">
  <Template>Normal.dotm</Template>
  <TotalTime>1</TotalTime>
  <Pages>1</Pages>
  <Words>259</Words>
  <Characters>1426</Characters>
  <Application>Microsoft Office Word</Application>
  <DocSecurity>0</DocSecurity>
  <Lines>11</Lines>
  <Paragraphs>3</Paragraphs>
  <ScaleCrop>false</ScaleCrop>
  <Company/>
  <LinksUpToDate>false</LinksUpToDate>
  <CharactersWithSpaces>1682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Dawkins</dc:creator>
  <cp:keywords/>
  <dc:description/>
  <cp:lastModifiedBy>Jean-Paul Van Ginneken</cp:lastModifiedBy>
  <cp:revision>2</cp:revision>
  <dcterms:created xsi:type="dcterms:W3CDTF">2020-12-14T16:22:00Z</dcterms:created>
  <dcterms:modified xsi:type="dcterms:W3CDTF">2020-12-14T16:22:00Z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0x0101006A18F493F35C7C4FA391B0A2F26ADCA2</vt:lpwstr>
  </property>
</Properties>
</file>