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30AA1" w14:textId="77777777" w:rsidR="00996E47" w:rsidRPr="003F209D" w:rsidRDefault="00996E47" w:rsidP="003F209D">
      <w:pPr>
        <w:pStyle w:val="Titre1"/>
        <w:keepNext/>
        <w:shd w:val="clear" w:color="auto" w:fill="304C5A"/>
        <w:rPr>
          <w:rFonts w:ascii="Colaborate-Thin" w:hAnsi="Colaborate-Thin"/>
          <w:color w:val="A0A8AF"/>
        </w:rPr>
      </w:pPr>
      <w:bookmarkStart w:id="0" w:name="_Hlk531007243"/>
      <w:r>
        <w:rPr>
          <w:rFonts w:ascii="Colaborate-Thin" w:hAnsi="Colaborate-Thin"/>
          <w:color w:val="A0A8AF"/>
        </w:rPr>
        <w:t>Strumento 1A.2: Modello di politica per la filiera</w:t>
      </w:r>
    </w:p>
    <w:p w14:paraId="12FBB595" w14:textId="77777777" w:rsidR="00996E47" w:rsidRPr="00376C24" w:rsidRDefault="00996E47" w:rsidP="00996E47">
      <w:pPr>
        <w:keepNext/>
        <w:spacing w:after="0" w:line="240" w:lineRule="auto"/>
        <w:rPr>
          <w:rFonts w:ascii="Colaborate-Thin" w:hAnsi="Colaborate-Thin" w:cstheme="minorHAnsi"/>
          <w:b/>
        </w:rPr>
      </w:pPr>
    </w:p>
    <w:p w14:paraId="5D71C89A" w14:textId="4BB68F44" w:rsidR="00996E47" w:rsidRPr="00376C24" w:rsidRDefault="00996E47" w:rsidP="00996E47">
      <w:pPr>
        <w:keepNext/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Cs/>
        </w:rPr>
      </w:pPr>
      <w:r>
        <w:rPr>
          <w:rFonts w:ascii="Colaborate-Thin" w:hAnsi="Colaborate-Thin"/>
        </w:rPr>
        <w:t xml:space="preserve"> </w:t>
      </w:r>
      <w:r>
        <w:rPr>
          <w:rFonts w:ascii="Colaborate-Thin" w:hAnsi="Colaborate-Thin"/>
          <w:bCs/>
        </w:rPr>
        <w:t>[</w:t>
      </w:r>
      <w:r>
        <w:rPr>
          <w:rFonts w:ascii="Colaborate-Thin" w:hAnsi="Colaborate-Thin"/>
          <w:bCs/>
          <w:i/>
          <w:iCs/>
          <w:color w:val="0070C0"/>
        </w:rPr>
        <w:t>Nome dell’azienda</w:t>
      </w:r>
      <w:r>
        <w:rPr>
          <w:rFonts w:ascii="Colaborate-Thin" w:hAnsi="Colaborate-Thin"/>
          <w:bCs/>
        </w:rPr>
        <w:t>] è una [</w:t>
      </w:r>
      <w:r>
        <w:rPr>
          <w:rFonts w:ascii="Colaborate-Thin" w:hAnsi="Colaborate-Thin"/>
          <w:bCs/>
          <w:i/>
          <w:iCs/>
          <w:color w:val="0070C0"/>
        </w:rPr>
        <w:t>breve descrizione dell’azienda</w:t>
      </w:r>
      <w:r>
        <w:rPr>
          <w:rFonts w:ascii="Colaborate-Thin" w:hAnsi="Colaborate-Thin"/>
          <w:bCs/>
        </w:rPr>
        <w:t>]. La presente politica conferma l'impegno assunto da [</w:t>
      </w:r>
      <w:r>
        <w:rPr>
          <w:rFonts w:ascii="Colaborate-Thin" w:hAnsi="Colaborate-Thin"/>
          <w:bCs/>
          <w:i/>
          <w:iCs/>
          <w:color w:val="0070C0"/>
        </w:rPr>
        <w:t>nome dell'azienda</w:t>
      </w:r>
      <w:r>
        <w:rPr>
          <w:rFonts w:ascii="Colaborate-Thin" w:hAnsi="Colaborate-Thin"/>
          <w:bCs/>
        </w:rPr>
        <w:t>] al fine di rispettare i diritti umani, di evitare di contribuire al finanziamento di conflitti e di conformarsi a tutte le pertinenti sanzioni, risoluzioni e disposizioni legislative delle Nazioni</w:t>
      </w:r>
      <w:r w:rsidR="00B96CAD">
        <w:rPr>
          <w:rFonts w:ascii="Colaborate-Thin" w:hAnsi="Colaborate-Thin"/>
          <w:bCs/>
        </w:rPr>
        <w:t> </w:t>
      </w:r>
      <w:r>
        <w:rPr>
          <w:rFonts w:ascii="Colaborate-Thin" w:hAnsi="Colaborate-Thin"/>
          <w:bCs/>
        </w:rPr>
        <w:t>Unite.</w:t>
      </w:r>
    </w:p>
    <w:p w14:paraId="7129B3FA" w14:textId="77777777" w:rsidR="00996E47" w:rsidRPr="00376C24" w:rsidRDefault="00996E47" w:rsidP="00996E47">
      <w:pPr>
        <w:keepNext/>
        <w:spacing w:after="0" w:line="240" w:lineRule="auto"/>
        <w:rPr>
          <w:rFonts w:ascii="Colaborate-Thin" w:hAnsi="Colaborate-Thin" w:cstheme="minorHAnsi"/>
          <w:bCs/>
        </w:rPr>
      </w:pPr>
    </w:p>
    <w:p w14:paraId="67EA7D92" w14:textId="4B105635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[</w:t>
      </w:r>
      <w:r>
        <w:rPr>
          <w:rFonts w:ascii="Colaborate-Thin" w:hAnsi="Colaborate-Thin"/>
          <w:bCs/>
          <w:i/>
          <w:iCs/>
          <w:color w:val="0070C0"/>
        </w:rPr>
        <w:t>nome dell'azienda</w:t>
      </w:r>
      <w:r>
        <w:rPr>
          <w:rFonts w:ascii="Colaborate-Thin" w:hAnsi="Colaborate-Thin"/>
          <w:bCs/>
        </w:rPr>
        <w:t xml:space="preserve">] è un socio membro certificato di </w:t>
      </w:r>
      <w:proofErr w:type="spellStart"/>
      <w:r>
        <w:rPr>
          <w:rFonts w:ascii="Colaborate-Thin" w:hAnsi="Colaborate-Thin"/>
          <w:bCs/>
        </w:rPr>
        <w:t>Responsible</w:t>
      </w:r>
      <w:proofErr w:type="spellEnd"/>
      <w:r>
        <w:rPr>
          <w:rFonts w:ascii="Colaborate-Thin" w:hAnsi="Colaborate-Thin"/>
          <w:bCs/>
        </w:rPr>
        <w:t xml:space="preserve"> </w:t>
      </w:r>
      <w:proofErr w:type="spellStart"/>
      <w:r>
        <w:rPr>
          <w:rFonts w:ascii="Colaborate-Thin" w:hAnsi="Colaborate-Thin"/>
          <w:bCs/>
        </w:rPr>
        <w:t>Jewellery</w:t>
      </w:r>
      <w:proofErr w:type="spellEnd"/>
      <w:r>
        <w:rPr>
          <w:rFonts w:ascii="Colaborate-Thin" w:hAnsi="Colaborate-Thin"/>
          <w:bCs/>
        </w:rPr>
        <w:t xml:space="preserve"> </w:t>
      </w:r>
      <w:proofErr w:type="spellStart"/>
      <w:r>
        <w:rPr>
          <w:rFonts w:ascii="Colaborate-Thin" w:hAnsi="Colaborate-Thin"/>
          <w:bCs/>
        </w:rPr>
        <w:t>Council</w:t>
      </w:r>
      <w:proofErr w:type="spellEnd"/>
      <w:r>
        <w:rPr>
          <w:rFonts w:ascii="Colaborate-Thin" w:hAnsi="Colaborate-Thin"/>
          <w:bCs/>
        </w:rPr>
        <w:t xml:space="preserve"> (RJC). In quanto tali, ci</w:t>
      </w:r>
      <w:r w:rsidR="00B96CAD">
        <w:rPr>
          <w:rFonts w:ascii="Colaborate-Thin" w:hAnsi="Colaborate-Thin"/>
          <w:bCs/>
        </w:rPr>
        <w:t> </w:t>
      </w:r>
      <w:r>
        <w:rPr>
          <w:rFonts w:ascii="Colaborate-Thin" w:hAnsi="Colaborate-Thin"/>
          <w:bCs/>
        </w:rPr>
        <w:t>impegniamo a fornire prova, tramite verifica esterna indipendente, del fatto che:</w:t>
      </w:r>
    </w:p>
    <w:p w14:paraId="29E03EB4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rispettiamo i diritti umani in conformità alla Dichiarazione Universale dei Diritti Umani e ai Diritti Fondamentali sul Lavoro dell’Organizzazione Internazionale del Lavoro;</w:t>
      </w:r>
    </w:p>
    <w:p w14:paraId="1AD2521D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non esercitiamo né tolleriamo la concussione, la corruzione, il riciclaggio di denaro o il finanziamento del terrorismo;</w:t>
      </w:r>
    </w:p>
    <w:p w14:paraId="11A4EA65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sosteniamo la trasparenza dei pagamenti statali e le forze di sicurezza compatibili con la tutela dei diritti nell’industria estrattiva;</w:t>
      </w:r>
    </w:p>
    <w:p w14:paraId="7EC0DF95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non forniamo supporto diretto o indiretto a gruppi armati illegali;</w:t>
      </w:r>
    </w:p>
    <w:p w14:paraId="484E4E7D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istituiamo processi attraverso cui le parti in causa possono esprimere problematiche relative alla filiera della gioielleria;</w:t>
      </w:r>
    </w:p>
    <w:p w14:paraId="7F25F8E2" w14:textId="6C0533A1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implementiamo il quadro normativo OCSE in 5 fasi in quanto sistema di gestione per le attività di due</w:t>
      </w:r>
      <w:r w:rsidR="00B96CAD">
        <w:rPr>
          <w:rFonts w:ascii="Colaborate-Thin" w:hAnsi="Colaborate-Thin"/>
          <w:bCs/>
        </w:rPr>
        <w:t> </w:t>
      </w:r>
      <w:proofErr w:type="spellStart"/>
      <w:r>
        <w:rPr>
          <w:rFonts w:ascii="Colaborate-Thin" w:hAnsi="Colaborate-Thin"/>
          <w:bCs/>
        </w:rPr>
        <w:t>diligence</w:t>
      </w:r>
      <w:proofErr w:type="spellEnd"/>
      <w:r>
        <w:rPr>
          <w:rFonts w:ascii="Colaborate-Thin" w:hAnsi="Colaborate-Thin"/>
          <w:bCs/>
        </w:rPr>
        <w:t xml:space="preserve"> basate sul rischio, relativamente alle filiere responsabili di minerali da aree di conflitto e</w:t>
      </w:r>
      <w:r w:rsidR="00B96CAD">
        <w:rPr>
          <w:rFonts w:ascii="Colaborate-Thin" w:hAnsi="Colaborate-Thin"/>
          <w:bCs/>
        </w:rPr>
        <w:t> </w:t>
      </w:r>
      <w:r>
        <w:rPr>
          <w:rFonts w:ascii="Colaborate-Thin" w:hAnsi="Colaborate-Thin"/>
          <w:bCs/>
        </w:rPr>
        <w:t>ad alto rischio.</w:t>
      </w:r>
    </w:p>
    <w:p w14:paraId="6EC9F062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</w:p>
    <w:p w14:paraId="5417CA39" w14:textId="220185AA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Cs/>
          <w:i/>
          <w:iCs/>
        </w:rPr>
      </w:pPr>
      <w:r>
        <w:rPr>
          <w:rFonts w:ascii="Colaborate-Thin" w:hAnsi="Colaborate-Thin"/>
          <w:bCs/>
        </w:rPr>
        <w:t xml:space="preserve">Inoltre, ci impegniamo a sfruttare la nostra capacità di influenza per evitare abusi da parte di altri. </w:t>
      </w:r>
      <w:r>
        <w:rPr>
          <w:rFonts w:ascii="Colaborate-Thin" w:hAnsi="Colaborate-Thin"/>
          <w:bCs/>
          <w:color w:val="0070C0"/>
        </w:rPr>
        <w:t>[</w:t>
      </w:r>
      <w:r>
        <w:rPr>
          <w:rFonts w:ascii="Colaborate-Thin" w:hAnsi="Colaborate-Thin"/>
          <w:bCs/>
          <w:i/>
          <w:iCs/>
          <w:color w:val="0070C0"/>
        </w:rPr>
        <w:t>Qui</w:t>
      </w:r>
      <w:r w:rsidR="00B96CAD">
        <w:rPr>
          <w:rFonts w:ascii="Colaborate-Thin" w:hAnsi="Colaborate-Thin"/>
          <w:bCs/>
          <w:i/>
          <w:iCs/>
          <w:color w:val="0070C0"/>
        </w:rPr>
        <w:t> </w:t>
      </w:r>
      <w:r>
        <w:rPr>
          <w:rFonts w:ascii="Colaborate-Thin" w:hAnsi="Colaborate-Thin"/>
          <w:bCs/>
          <w:i/>
          <w:iCs/>
          <w:color w:val="0070C0"/>
        </w:rPr>
        <w:t>si</w:t>
      </w:r>
      <w:r w:rsidR="00B96CAD">
        <w:rPr>
          <w:rFonts w:ascii="Colaborate-Thin" w:hAnsi="Colaborate-Thin"/>
          <w:bCs/>
          <w:i/>
          <w:iCs/>
          <w:color w:val="0070C0"/>
        </w:rPr>
        <w:t> </w:t>
      </w:r>
      <w:r>
        <w:rPr>
          <w:rFonts w:ascii="Colaborate-Thin" w:hAnsi="Colaborate-Thin"/>
          <w:bCs/>
          <w:i/>
          <w:iCs/>
          <w:color w:val="0070C0"/>
        </w:rPr>
        <w:t>può scegliere di inserire una breve descrizione del modo in cui l'azienda valuterà e affronterà i</w:t>
      </w:r>
      <w:r w:rsidR="00B96CAD">
        <w:rPr>
          <w:rFonts w:ascii="Colaborate-Thin" w:hAnsi="Colaborate-Thin"/>
          <w:bCs/>
          <w:i/>
          <w:iCs/>
          <w:color w:val="0070C0"/>
        </w:rPr>
        <w:t> </w:t>
      </w:r>
      <w:r>
        <w:rPr>
          <w:rFonts w:ascii="Colaborate-Thin" w:hAnsi="Colaborate-Thin"/>
          <w:bCs/>
          <w:i/>
          <w:iCs/>
          <w:color w:val="0070C0"/>
        </w:rPr>
        <w:t>rischi di non conformità da parte dei fornitori. Valutare inoltre se inserire informazioni sul meccanismo di</w:t>
      </w:r>
      <w:r w:rsidR="00B96CAD">
        <w:rPr>
          <w:rFonts w:ascii="Colaborate-Thin" w:hAnsi="Colaborate-Thin"/>
          <w:bCs/>
          <w:i/>
          <w:iCs/>
          <w:color w:val="0070C0"/>
        </w:rPr>
        <w:t> </w:t>
      </w:r>
      <w:r>
        <w:rPr>
          <w:rFonts w:ascii="Colaborate-Thin" w:hAnsi="Colaborate-Thin"/>
          <w:bCs/>
          <w:i/>
          <w:iCs/>
          <w:color w:val="0070C0"/>
        </w:rPr>
        <w:t>gestione dei reclami per consentire agli interessati di riferire eventuali problematiche riguardanti materiali da aree di conflitto e ad alto rischio</w:t>
      </w:r>
      <w:r>
        <w:rPr>
          <w:rFonts w:ascii="Colaborate-Thin" w:hAnsi="Colaborate-Thin"/>
          <w:bCs/>
          <w:iCs/>
          <w:color w:val="0070C0"/>
        </w:rPr>
        <w:t>.]</w:t>
      </w:r>
      <w:r>
        <w:rPr>
          <w:rFonts w:ascii="Colaborate-Thin" w:hAnsi="Colaborate-Thin"/>
          <w:bCs/>
          <w:i/>
          <w:iCs/>
          <w:color w:val="0070C0"/>
        </w:rPr>
        <w:t xml:space="preserve"> </w:t>
      </w:r>
    </w:p>
    <w:p w14:paraId="2FB5D8D4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  <w:i/>
          <w:iCs/>
        </w:rPr>
      </w:pPr>
    </w:p>
    <w:p w14:paraId="6E4C1AF9" w14:textId="4E2A18D6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/>
          <w:bCs/>
        </w:rPr>
      </w:pPr>
      <w:r>
        <w:rPr>
          <w:rFonts w:ascii="Colaborate-Thin" w:hAnsi="Colaborate-Thin"/>
          <w:b/>
          <w:bCs/>
        </w:rPr>
        <w:t>Riguardo a gravi abusi associati all’estrazione, al trasporto e al commercio di diamanti/</w:t>
      </w:r>
      <w:r w:rsidR="00B96CAD">
        <w:rPr>
          <w:rFonts w:ascii="Colaborate-Thin" w:hAnsi="Colaborate-Thin"/>
          <w:b/>
          <w:bCs/>
        </w:rPr>
        <w:br/>
      </w:r>
      <w:r>
        <w:rPr>
          <w:rFonts w:ascii="Colaborate-Thin" w:hAnsi="Colaborate-Thin"/>
          <w:b/>
          <w:bCs/>
        </w:rPr>
        <w:t>gemme</w:t>
      </w:r>
      <w:r w:rsidR="00B96CAD">
        <w:rPr>
          <w:rFonts w:ascii="Colaborate-Thin" w:hAnsi="Colaborate-Thin"/>
          <w:b/>
          <w:bCs/>
        </w:rPr>
        <w:t> </w:t>
      </w:r>
      <w:r>
        <w:rPr>
          <w:rFonts w:ascii="Colaborate-Thin" w:hAnsi="Colaborate-Thin"/>
          <w:b/>
          <w:bCs/>
        </w:rPr>
        <w:t>colorate</w:t>
      </w:r>
    </w:p>
    <w:p w14:paraId="78B3BA1D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Non intendiamo tollerare né trarre profitto da, contribuire a, assistere o favorire:</w:t>
      </w:r>
    </w:p>
    <w:p w14:paraId="21F7EDE3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torture, trattamento crudele, disumano e degradante;</w:t>
      </w:r>
    </w:p>
    <w:p w14:paraId="3F6DE0FA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lavoro forzato o obbligatorio;</w:t>
      </w:r>
    </w:p>
    <w:p w14:paraId="755CA38B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le peggiori forme di lavoro minorile;</w:t>
      </w:r>
    </w:p>
    <w:p w14:paraId="7DFB0BB2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violazioni e abusi dei diritti umani;</w:t>
      </w:r>
    </w:p>
    <w:p w14:paraId="22FCA3C7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crimini di guerra, violazioni del diritto umanitario internazionale, crimini contro l’umanità o genocidio.</w:t>
      </w:r>
    </w:p>
    <w:p w14:paraId="5123C35D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</w:p>
    <w:p w14:paraId="640A97DB" w14:textId="77777777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Cesseremo immediatamente ogni impegno con fornitori a monte della filiera qualora riscontrassimo un ragionevole rischio che commettano gli abusi di cui al paragrafo 4 o si approvvigionino da o siano collegati a una controparte che commette i suddetti abusi.</w:t>
      </w:r>
    </w:p>
    <w:p w14:paraId="05709AEF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</w:p>
    <w:p w14:paraId="4BF4654A" w14:textId="77777777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/>
          <w:bCs/>
        </w:rPr>
      </w:pPr>
      <w:r>
        <w:rPr>
          <w:rFonts w:ascii="Colaborate-Thin" w:hAnsi="Colaborate-Thin"/>
          <w:b/>
          <w:bCs/>
        </w:rPr>
        <w:t>Riguardo al sostegno diretto o indiretto a gruppi armati non governativi</w:t>
      </w:r>
    </w:p>
    <w:p w14:paraId="79DEB700" w14:textId="11403DD0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  <w:r>
        <w:rPr>
          <w:rFonts w:ascii="Colaborate-Thin" w:hAnsi="Colaborate-Thin"/>
        </w:rPr>
        <w:t>Acquistiamo e vendiamo esclusivamente diamanti/gemme colorate pienamente conformi al Sistema di</w:t>
      </w:r>
      <w:r w:rsidR="00B96CAD">
        <w:rPr>
          <w:rFonts w:ascii="Colaborate-Thin" w:hAnsi="Colaborate-Thin"/>
        </w:rPr>
        <w:t> </w:t>
      </w:r>
      <w:r>
        <w:rPr>
          <w:rFonts w:ascii="Colaborate-Thin" w:hAnsi="Colaborate-Thin"/>
        </w:rPr>
        <w:t>certificazione del Processo di Kimberley e, in quanto tali, non intendiamo tollerare il sostegno diretto o</w:t>
      </w:r>
      <w:r w:rsidR="00B96CAD">
        <w:rPr>
          <w:rFonts w:ascii="Colaborate-Thin" w:hAnsi="Colaborate-Thin"/>
        </w:rPr>
        <w:t> </w:t>
      </w:r>
      <w:r>
        <w:rPr>
          <w:rFonts w:ascii="Colaborate-Thin" w:hAnsi="Colaborate-Thin"/>
        </w:rPr>
        <w:t>indiretto a gruppi armati non governativi, compreso tra l’altro il procacciamento di diamanti/gemme colorate da, l’effettuazione di pagamenti a o l’assistenza o la fornitura di apparecchiature a gruppi armati non</w:t>
      </w:r>
      <w:r w:rsidR="00B96CAD">
        <w:rPr>
          <w:rFonts w:ascii="Colaborate-Thin" w:hAnsi="Colaborate-Thin"/>
        </w:rPr>
        <w:t> </w:t>
      </w:r>
      <w:r>
        <w:rPr>
          <w:rFonts w:ascii="Colaborate-Thin" w:hAnsi="Colaborate-Thin"/>
        </w:rPr>
        <w:t>governativi o a loro affiliati che, in modo illegale:</w:t>
      </w:r>
    </w:p>
    <w:p w14:paraId="701F6326" w14:textId="77777777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</w:rPr>
        <w:t>controllano siti minerari, rotte di trasporto, punti di commercializzazione dei diamanti/gemme colorate e operatori a monte nella filiera; oppure</w:t>
      </w:r>
    </w:p>
    <w:p w14:paraId="7F2B9539" w14:textId="7954B082" w:rsidR="00996E47" w:rsidRPr="00376C24" w:rsidRDefault="00996E47" w:rsidP="00996E47">
      <w:pPr>
        <w:numPr>
          <w:ilvl w:val="1"/>
          <w:numId w:val="1"/>
        </w:numPr>
        <w:spacing w:after="0" w:line="240" w:lineRule="auto"/>
        <w:ind w:left="567"/>
        <w:rPr>
          <w:rFonts w:ascii="Colaborate-Thin" w:hAnsi="Colaborate-Thin" w:cstheme="minorHAnsi"/>
          <w:bCs/>
        </w:rPr>
      </w:pPr>
      <w:r>
        <w:rPr>
          <w:rFonts w:ascii="Colaborate-Thin" w:hAnsi="Colaborate-Thin"/>
        </w:rPr>
        <w:t>tassano o estorcono denaro o diamanti/gemme colorate nei siti minerari, lungo le rotte di trasporto o</w:t>
      </w:r>
      <w:r w:rsidR="00B96CAD">
        <w:rPr>
          <w:rFonts w:ascii="Colaborate-Thin" w:hAnsi="Colaborate-Thin"/>
        </w:rPr>
        <w:t> </w:t>
      </w:r>
      <w:r>
        <w:rPr>
          <w:rFonts w:ascii="Colaborate-Thin" w:hAnsi="Colaborate-Thin"/>
        </w:rPr>
        <w:t>nei punti di commercializzazione di diamanti/gemme colorate, o da intermediari, società di esportazione o commercianti internazionali.</w:t>
      </w:r>
    </w:p>
    <w:p w14:paraId="4608A59E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</w:p>
    <w:p w14:paraId="54C66641" w14:textId="77777777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>Cesseremo immediatamente ogni impegno con fornitori a monte della filiera qualora riscontrassimo un ragionevole rischio che si approvvigionino da, o siano collegati a una controparte che fornisce sostegno diretto o indiretto a gruppi armati non governativi, come descritto al paragrafo 6.</w:t>
      </w:r>
    </w:p>
    <w:p w14:paraId="5A4DACDE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</w:p>
    <w:p w14:paraId="70EDB802" w14:textId="77777777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/>
          <w:bCs/>
        </w:rPr>
      </w:pPr>
      <w:r>
        <w:rPr>
          <w:rFonts w:ascii="Colaborate-Thin" w:hAnsi="Colaborate-Thin"/>
          <w:b/>
          <w:bCs/>
        </w:rPr>
        <w:t>Riguardo a forze di sicurezza pubbliche o private</w:t>
      </w:r>
    </w:p>
    <w:p w14:paraId="6AB90C20" w14:textId="1AD6EDCB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 xml:space="preserve">Confermiamo che il ruolo delle forze di sicurezza pubbliche o private è di garantire la sicurezza dei lavoratori, degli impianti, delle apparecchiature e della proprietà, ai sensi di legge, compresa la legge che tutela i diritti </w:t>
      </w:r>
      <w:r>
        <w:rPr>
          <w:rFonts w:ascii="Colaborate-Thin" w:hAnsi="Colaborate-Thin"/>
          <w:bCs/>
        </w:rPr>
        <w:lastRenderedPageBreak/>
        <w:t>umani. Non intendiamo fornire sostegno diretto o indiretto a forze di sicurezza pubbliche o private che</w:t>
      </w:r>
      <w:r w:rsidR="00B96CAD">
        <w:rPr>
          <w:rFonts w:ascii="Colaborate-Thin" w:hAnsi="Colaborate-Thin"/>
          <w:bCs/>
        </w:rPr>
        <w:t> </w:t>
      </w:r>
      <w:r>
        <w:rPr>
          <w:rFonts w:ascii="Colaborate-Thin" w:hAnsi="Colaborate-Thin"/>
          <w:bCs/>
        </w:rPr>
        <w:t>commettono gli abusi di cui al paragrafo 4, o che agiscono in modo contrario alla legge, come da paragrafo</w:t>
      </w:r>
      <w:r w:rsidR="00B96CAD">
        <w:rPr>
          <w:rFonts w:ascii="Colaborate-Thin" w:hAnsi="Colaborate-Thin"/>
          <w:bCs/>
        </w:rPr>
        <w:t> </w:t>
      </w:r>
      <w:r>
        <w:rPr>
          <w:rFonts w:ascii="Colaborate-Thin" w:hAnsi="Colaborate-Thin"/>
          <w:bCs/>
        </w:rPr>
        <w:t>6.</w:t>
      </w:r>
    </w:p>
    <w:p w14:paraId="58131AF0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/>
          <w:bCs/>
        </w:rPr>
      </w:pPr>
    </w:p>
    <w:p w14:paraId="6FFD57EE" w14:textId="77777777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/>
          <w:bCs/>
        </w:rPr>
      </w:pPr>
      <w:r>
        <w:rPr>
          <w:rFonts w:ascii="Colaborate-Thin" w:hAnsi="Colaborate-Thin"/>
          <w:b/>
          <w:bCs/>
        </w:rPr>
        <w:t>Riguardo a corruzione o dichiarazione falsa sull’origine dei diamanti/gemme colorate</w:t>
      </w:r>
    </w:p>
    <w:p w14:paraId="65233122" w14:textId="22927A0A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  <w:r>
        <w:rPr>
          <w:rFonts w:ascii="Colaborate-Thin" w:hAnsi="Colaborate-Thin"/>
        </w:rPr>
        <w:t>Non intendiamo offrire, promettere o richiedere tangenti e intendiamo opporci alla sollecitazione di</w:t>
      </w:r>
      <w:r w:rsidR="00B96CAD">
        <w:rPr>
          <w:rFonts w:ascii="Colaborate-Thin" w:hAnsi="Colaborate-Thin"/>
        </w:rPr>
        <w:t> </w:t>
      </w:r>
      <w:r>
        <w:rPr>
          <w:rFonts w:ascii="Colaborate-Thin" w:hAnsi="Colaborate-Thin"/>
        </w:rPr>
        <w:t>tangenti,</w:t>
      </w:r>
      <w:r w:rsidR="00B96CAD">
        <w:rPr>
          <w:rFonts w:ascii="Colaborate-Thin" w:hAnsi="Colaborate-Thin"/>
        </w:rPr>
        <w:t> </w:t>
      </w:r>
      <w:r>
        <w:rPr>
          <w:rFonts w:ascii="Colaborate-Thin" w:hAnsi="Colaborate-Thin"/>
        </w:rPr>
        <w:t>alla richiesta di occultare o dissimulare l’origine dei diamanti/gemme colorate, o di dichiarare il</w:t>
      </w:r>
      <w:r w:rsidR="00B96CAD">
        <w:rPr>
          <w:rFonts w:ascii="Colaborate-Thin" w:hAnsi="Colaborate-Thin"/>
        </w:rPr>
        <w:t> </w:t>
      </w:r>
      <w:r>
        <w:rPr>
          <w:rFonts w:ascii="Colaborate-Thin" w:hAnsi="Colaborate-Thin"/>
        </w:rPr>
        <w:t>falso in materia di tasse, imposte, tariffe e royalty pagate ai governi a scopo di estrazione, commercio, movimentazione, trasporto ed esportazione di diamanti.</w:t>
      </w:r>
    </w:p>
    <w:p w14:paraId="1220BFF1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/>
          <w:bCs/>
        </w:rPr>
      </w:pPr>
    </w:p>
    <w:p w14:paraId="0D704B2F" w14:textId="77777777" w:rsidR="00996E47" w:rsidRPr="00376C24" w:rsidRDefault="00996E47" w:rsidP="00996E47">
      <w:pPr>
        <w:numPr>
          <w:ilvl w:val="0"/>
          <w:numId w:val="1"/>
        </w:numPr>
        <w:spacing w:after="0" w:line="240" w:lineRule="auto"/>
        <w:ind w:left="227"/>
        <w:rPr>
          <w:rFonts w:ascii="Colaborate-Thin" w:hAnsi="Colaborate-Thin" w:cstheme="minorHAnsi"/>
          <w:b/>
          <w:bCs/>
        </w:rPr>
      </w:pPr>
      <w:r>
        <w:rPr>
          <w:rFonts w:ascii="Colaborate-Thin" w:hAnsi="Colaborate-Thin"/>
          <w:b/>
          <w:bCs/>
        </w:rPr>
        <w:t>Riguardo al riciclaggio di denaro</w:t>
      </w:r>
    </w:p>
    <w:p w14:paraId="2800FA41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  <w:r>
        <w:rPr>
          <w:rFonts w:ascii="Colaborate-Thin" w:hAnsi="Colaborate-Thin"/>
        </w:rPr>
        <w:t>Intendiamo sostenere gli sforzi e contribuire all'eliminazione del riciclaggio di denaro laddove identificassimo il ragionevole rischio di riciclaggio di denaro derivante da o collegato all’estrazione, al commercio, alla movimentazione, al trasporto o all’esportazione di diamanti/gemme colorate.</w:t>
      </w:r>
    </w:p>
    <w:p w14:paraId="488D6196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</w:p>
    <w:p w14:paraId="72E58664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  <w:bCs/>
        </w:rPr>
      </w:pPr>
      <w:r>
        <w:rPr>
          <w:rFonts w:ascii="Colaborate-Thin" w:hAnsi="Colaborate-Thin"/>
          <w:bCs/>
        </w:rPr>
        <w:t xml:space="preserve">Firmato/approvato: </w:t>
      </w:r>
    </w:p>
    <w:p w14:paraId="6A618E6E" w14:textId="77777777" w:rsidR="00996E47" w:rsidRPr="00376C24" w:rsidRDefault="00996E47" w:rsidP="00996E47">
      <w:pPr>
        <w:spacing w:after="0" w:line="240" w:lineRule="auto"/>
        <w:rPr>
          <w:rFonts w:ascii="Colaborate-Thin" w:hAnsi="Colaborate-Thin" w:cstheme="minorHAnsi"/>
        </w:rPr>
      </w:pPr>
      <w:r>
        <w:rPr>
          <w:rFonts w:ascii="Colaborate-Thin" w:hAnsi="Colaborate-Thin"/>
          <w:bCs/>
        </w:rPr>
        <w:t>Data di entrata in vigore:</w:t>
      </w:r>
    </w:p>
    <w:bookmarkEnd w:id="0"/>
    <w:p w14:paraId="6E523D74" w14:textId="77777777" w:rsidR="00A40F38" w:rsidRPr="00376C24" w:rsidRDefault="00A40F38">
      <w:pPr>
        <w:rPr>
          <w:rFonts w:ascii="Colaborate-Thin" w:hAnsi="Colaborate-Thin"/>
        </w:rPr>
      </w:pPr>
    </w:p>
    <w:sectPr w:rsidR="00A40F38" w:rsidRPr="00376C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49"/>
    <w:multiLevelType w:val="multilevel"/>
    <w:tmpl w:val="60784848"/>
    <w:lvl w:ilvl="0">
      <w:start w:val="1"/>
      <w:numFmt w:val="decimal"/>
      <w:lvlText w:val="%1."/>
      <w:lvlJc w:val="left"/>
      <w:pPr>
        <w:ind w:left="637" w:hanging="227"/>
      </w:pPr>
      <w:rPr>
        <w:rFonts w:asciiTheme="minorHAnsi" w:hAnsiTheme="minorHAnsi" w:cs="Lato" w:hint="default"/>
        <w:b w:val="0"/>
        <w:bCs w:val="0"/>
        <w:i w:val="0"/>
        <w:color w:val="auto"/>
        <w:spacing w:val="-15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977" w:hanging="165"/>
      </w:pPr>
      <w:rPr>
        <w:rFonts w:ascii="Lato" w:hAnsi="Lato" w:cs="Lato"/>
        <w:b w:val="0"/>
        <w:bCs w:val="0"/>
        <w:color w:val="231F20"/>
        <w:spacing w:val="-6"/>
        <w:w w:val="100"/>
        <w:sz w:val="18"/>
        <w:szCs w:val="18"/>
      </w:rPr>
    </w:lvl>
    <w:lvl w:ilvl="2">
      <w:numFmt w:val="bullet"/>
      <w:lvlText w:val="•"/>
      <w:lvlJc w:val="left"/>
      <w:pPr>
        <w:ind w:left="2098" w:hanging="165"/>
      </w:pPr>
    </w:lvl>
    <w:lvl w:ilvl="3">
      <w:numFmt w:val="bullet"/>
      <w:lvlText w:val="•"/>
      <w:lvlJc w:val="left"/>
      <w:pPr>
        <w:ind w:left="3216" w:hanging="165"/>
      </w:pPr>
    </w:lvl>
    <w:lvl w:ilvl="4">
      <w:numFmt w:val="bullet"/>
      <w:lvlText w:val="•"/>
      <w:lvlJc w:val="left"/>
      <w:pPr>
        <w:ind w:left="4335" w:hanging="165"/>
      </w:pPr>
    </w:lvl>
    <w:lvl w:ilvl="5">
      <w:numFmt w:val="bullet"/>
      <w:lvlText w:val="•"/>
      <w:lvlJc w:val="left"/>
      <w:pPr>
        <w:ind w:left="5453" w:hanging="165"/>
      </w:pPr>
    </w:lvl>
    <w:lvl w:ilvl="6">
      <w:numFmt w:val="bullet"/>
      <w:lvlText w:val="•"/>
      <w:lvlJc w:val="left"/>
      <w:pPr>
        <w:ind w:left="6571" w:hanging="165"/>
      </w:pPr>
    </w:lvl>
    <w:lvl w:ilvl="7">
      <w:numFmt w:val="bullet"/>
      <w:lvlText w:val="•"/>
      <w:lvlJc w:val="left"/>
      <w:pPr>
        <w:ind w:left="7690" w:hanging="165"/>
      </w:pPr>
    </w:lvl>
    <w:lvl w:ilvl="8">
      <w:numFmt w:val="bullet"/>
      <w:lvlText w:val="•"/>
      <w:lvlJc w:val="left"/>
      <w:pPr>
        <w:ind w:left="8808" w:hanging="16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E47"/>
    <w:rsid w:val="00376C24"/>
    <w:rsid w:val="003F209D"/>
    <w:rsid w:val="006B43B4"/>
    <w:rsid w:val="00710A4A"/>
    <w:rsid w:val="00996E47"/>
    <w:rsid w:val="00A40F38"/>
    <w:rsid w:val="00B96CAD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50771"/>
  <w15:chartTrackingRefBased/>
  <w15:docId w15:val="{AB1605A6-9100-4B1B-A223-509E284A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E47"/>
  </w:style>
  <w:style w:type="paragraph" w:styleId="Titre1">
    <w:name w:val="heading 1"/>
    <w:basedOn w:val="Normal"/>
    <w:next w:val="Normal"/>
    <w:link w:val="Titre1Car"/>
    <w:uiPriority w:val="9"/>
    <w:qFormat/>
    <w:rsid w:val="00996E47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96E47"/>
    <w:rPr>
      <w:b/>
      <w:color w:val="00B050"/>
      <w:sz w:val="28"/>
      <w:szCs w:val="28"/>
      <w:shd w:val="clear" w:color="auto" w:fill="D9E2F3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41D692-3433-4C65-A0C6-6960E579C0ED}"/>
</file>

<file path=customXml/itemProps2.xml><?xml version="1.0" encoding="utf-8"?>
<ds:datastoreItem xmlns:ds="http://schemas.openxmlformats.org/officeDocument/2006/customXml" ds:itemID="{930394C7-65E0-4B44-8791-A3D9E19E4A81}"/>
</file>

<file path=customXml/itemProps3.xml><?xml version="1.0" encoding="utf-8"?>
<ds:datastoreItem xmlns:ds="http://schemas.openxmlformats.org/officeDocument/2006/customXml" ds:itemID="{84CB2788-18AE-4B5E-A13D-239E2F2E2E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795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2020-12-14T16:39:00Z</dcterms:created>
  <dcterms:modified xsi:type="dcterms:W3CDTF">2020-12-14T16:39:00Z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