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B4E0F" w14:textId="77777777" w:rsidR="00307A66" w:rsidRPr="006F21E7" w:rsidRDefault="00307A66" w:rsidP="006F21E7">
      <w:pPr>
        <w:pStyle w:val="Titre1"/>
        <w:shd w:val="clear" w:color="auto" w:fill="304C5A"/>
        <w:rPr>
          <w:rFonts w:ascii="Colaborate-Thin" w:hAnsi="Colaborate-Thin"/>
          <w:color w:val="A0A8AF"/>
        </w:rPr>
      </w:pPr>
      <w:r>
        <w:rPr>
          <w:rFonts w:ascii="Colaborate-Thin" w:hAnsi="Colaborate-Thin"/>
          <w:color w:val="A0A8AF"/>
        </w:rPr>
        <w:t>Strumento 2.3: Lista di controllo: informazioni aggiuntive per filiere a rischio</w:t>
      </w:r>
    </w:p>
    <w:p w14:paraId="368E64E0" w14:textId="1AAE5E50" w:rsidR="00307A66" w:rsidRPr="006F21E7" w:rsidRDefault="00307A66" w:rsidP="006F21E7">
      <w:pPr>
        <w:shd w:val="clear" w:color="auto" w:fill="304C5A"/>
        <w:spacing w:after="0" w:line="240" w:lineRule="auto"/>
        <w:rPr>
          <w:rFonts w:ascii="Colaborate-Thin" w:hAnsi="Colaborate-Thin" w:cstheme="minorHAnsi"/>
          <w:b/>
          <w:color w:val="A0A8AF"/>
        </w:rPr>
      </w:pPr>
      <w:r>
        <w:rPr>
          <w:rFonts w:ascii="Colaborate-Thin" w:hAnsi="Colaborate-Thin"/>
          <w:b/>
          <w:color w:val="A0A8AF"/>
        </w:rPr>
        <w:t>Queste informazioni devono essere raccolte dalle aziende a monte e condivise con gli acquirenti.</w:t>
      </w:r>
      <w:r w:rsidR="00EA472B">
        <w:rPr>
          <w:rFonts w:ascii="Colaborate-Thin" w:hAnsi="Colaborate-Thin"/>
          <w:b/>
          <w:color w:val="A0A8AF"/>
        </w:rPr>
        <w:br/>
      </w:r>
    </w:p>
    <w:tbl>
      <w:tblPr>
        <w:tblStyle w:val="Tableausimple1"/>
        <w:tblW w:w="5000" w:type="pct"/>
        <w:tblLook w:val="04A0" w:firstRow="1" w:lastRow="0" w:firstColumn="1" w:lastColumn="0" w:noHBand="0" w:noVBand="1"/>
      </w:tblPr>
      <w:tblGrid>
        <w:gridCol w:w="8295"/>
        <w:gridCol w:w="721"/>
      </w:tblGrid>
      <w:tr w:rsidR="00307A66" w:rsidRPr="00307A66" w14:paraId="17D6126B" w14:textId="77777777" w:rsidTr="00EC59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</w:tcPr>
          <w:p w14:paraId="0FC0AD89" w14:textId="77777777" w:rsidR="00307A66" w:rsidRPr="00EA472B" w:rsidRDefault="00307A66" w:rsidP="00EC595A">
            <w:pPr>
              <w:rPr>
                <w:rFonts w:ascii="Colaborate-Thin" w:hAnsi="Colaborate-Thin" w:cstheme="minorHAnsi"/>
                <w:b w:val="0"/>
                <w:bCs w:val="0"/>
                <w:iCs/>
                <w:color w:val="000000" w:themeColor="text1"/>
                <w:lang w:val="fr-BE"/>
              </w:rPr>
            </w:pPr>
          </w:p>
          <w:p w14:paraId="6DCE112C" w14:textId="1C6FAF59" w:rsidR="00307A66" w:rsidRPr="00307A66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hAnsi="Colaborate-Thin" w:cstheme="minorHAnsi"/>
                <w:bCs w:val="0"/>
              </w:rPr>
            </w:pPr>
            <w:r>
              <w:rPr>
                <w:rFonts w:ascii="Colaborate-Thin" w:hAnsi="Colaborate-Thin"/>
              </w:rPr>
              <w:t>L’identità di tutti i fornitori a monte e dei rilevanti prestatori di servizi, dal punto di</w:t>
            </w:r>
            <w:r w:rsidR="00EA472B">
              <w:rPr>
                <w:rFonts w:ascii="Colaborate-Thin" w:hAnsi="Colaborate-Thin"/>
              </w:rPr>
              <w:t> </w:t>
            </w:r>
            <w:r>
              <w:rPr>
                <w:rFonts w:ascii="Colaborate-Thin" w:hAnsi="Colaborate-Thin"/>
              </w:rPr>
              <w:t>origine dei diamanti/gemme colorate.</w:t>
            </w:r>
          </w:p>
          <w:p w14:paraId="1575ABDD" w14:textId="38A40DEE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>Devono essere raccolte con la frequenza necessaria a garantire di disporre sempre di</w:t>
            </w:r>
            <w:r w:rsidR="00EA472B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informazioni aggiornate sulle circostanze delle forniture a rischio. Vanno aggiornate ogni qualvolta cambino le circostanze (ad es. modifica della proprietà, della struttura aziendale o</w:t>
            </w:r>
            <w:r w:rsidR="00EA472B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delle</w:t>
            </w:r>
            <w:r w:rsidR="00EA472B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rotte di trasporto). Non è necessario raccogliere queste informazioni a ogni acquisto se i</w:t>
            </w:r>
            <w:r w:rsidR="00EA472B">
              <w:rPr>
                <w:rFonts w:ascii="Colaborate-Thin" w:hAnsi="Colaborate-Thin"/>
                <w:b w:val="0"/>
                <w:bCs w:val="0"/>
              </w:rPr>
              <w:t> </w:t>
            </w:r>
            <w:r>
              <w:rPr>
                <w:rFonts w:ascii="Colaborate-Thin" w:hAnsi="Colaborate-Thin"/>
                <w:b w:val="0"/>
                <w:bCs w:val="0"/>
              </w:rPr>
              <w:t>diamanti/gemme colorate provengono dallo stesso fornitore.</w:t>
            </w:r>
          </w:p>
          <w:p w14:paraId="5E4EFFE5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</w:rPr>
            </w:pPr>
          </w:p>
          <w:p w14:paraId="17BBE064" w14:textId="77777777" w:rsidR="00307A66" w:rsidRPr="00307A66" w:rsidRDefault="00307A66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  <w:b w:val="0"/>
                <w:bCs w:val="0"/>
              </w:rPr>
              <w:t>Documentazione su quanto segue:</w:t>
            </w:r>
          </w:p>
          <w:p w14:paraId="1D9C1AE5" w14:textId="77777777" w:rsidR="00307A66" w:rsidRPr="00307A66" w:rsidRDefault="00307A66" w:rsidP="00307A66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Tutti i fornitori a monte e i prestatori di servizi, dalla fonte di produzione originaria. </w:t>
            </w:r>
          </w:p>
          <w:p w14:paraId="08C0905F" w14:textId="77777777" w:rsidR="00307A66" w:rsidRPr="00307A66" w:rsidRDefault="00307A66" w:rsidP="00307A66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I titolari effettivi/titolari effettivi in ultima istanza, i soggetti autorizzati a rappresentare (procura) i fornitori e i prestatori di servizi a monte (se applicabile).</w:t>
            </w:r>
          </w:p>
          <w:p w14:paraId="5E6F436F" w14:textId="7969BCA0" w:rsidR="00307A66" w:rsidRPr="00307A66" w:rsidRDefault="00307A66" w:rsidP="00307A66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Documentazione che mostra la struttura aziendale di tutti i fornitori e prestatori di servizi a</w:t>
            </w:r>
            <w:r w:rsidR="00EA472B">
              <w:rPr>
                <w:rFonts w:ascii="Colaborate-Thin" w:hAnsi="Colaborate-Thin"/>
                <w:b w:val="0"/>
              </w:rPr>
              <w:t> </w:t>
            </w:r>
            <w:r>
              <w:rPr>
                <w:rFonts w:ascii="Colaborate-Thin" w:hAnsi="Colaborate-Thin"/>
                <w:b w:val="0"/>
              </w:rPr>
              <w:t>monte.</w:t>
            </w:r>
          </w:p>
          <w:p w14:paraId="6D7AD8A1" w14:textId="77777777" w:rsidR="00307A66" w:rsidRPr="00307A66" w:rsidRDefault="00307A66" w:rsidP="00307A66">
            <w:pPr>
              <w:pStyle w:val="Paragraphedeliste"/>
              <w:numPr>
                <w:ilvl w:val="0"/>
                <w:numId w:val="1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Dati dei controlli di eventuali affiliazioni dei fornitori e prestatori di servizi a monte con governi, partiti politici, forze militari, reti criminali o gruppi armati non governativi.</w:t>
            </w:r>
          </w:p>
          <w:p w14:paraId="1CD59A7E" w14:textId="77777777" w:rsidR="00307A66" w:rsidRPr="00307A66" w:rsidRDefault="00307A66" w:rsidP="00EC595A">
            <w:pPr>
              <w:rPr>
                <w:rFonts w:ascii="Colaborate-Thin" w:hAnsi="Colaborate-Thin" w:cstheme="minorHAnsi"/>
                <w:i/>
              </w:rPr>
            </w:pPr>
          </w:p>
        </w:tc>
        <w:tc>
          <w:tcPr>
            <w:tcW w:w="400" w:type="pct"/>
          </w:tcPr>
          <w:p w14:paraId="49948CF2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62EFEA17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8F46DD1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4425AF43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4C169FD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B0C0825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57A14962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61891B8D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63F2E017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78BB376" w14:textId="77777777" w:rsidR="00307A66" w:rsidRPr="00307A66" w:rsidRDefault="00307A66" w:rsidP="00EC59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45709F4B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0C9BC99B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98015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91EC1D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203986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1C0634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359166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26C16C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  <w:p w14:paraId="4BD71F7B" w14:textId="77777777" w:rsidR="00307A66" w:rsidRPr="00307A66" w:rsidRDefault="00307A66" w:rsidP="00EC5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  <w:b w:val="0"/>
                <w:bCs w:val="0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914365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DF83F5" w14:textId="77777777" w:rsidR="00307A66" w:rsidRPr="00307A66" w:rsidRDefault="00307A66" w:rsidP="00EC595A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  <w:b w:val="0"/>
                    <w:bCs w:val="0"/>
                  </w:rPr>
                </w:pPr>
                <w:r w:rsidRPr="00307A66">
                  <w:rPr>
                    <w:rFonts w:ascii="Segoe UI Symbol" w:eastAsia="MS Gothic" w:hAnsi="Segoe UI Symbol" w:cs="Segoe UI Symbol"/>
                    <w:b w:val="0"/>
                    <w:bCs w:val="0"/>
                  </w:rPr>
                  <w:t>☐</w:t>
                </w:r>
              </w:p>
            </w:sdtContent>
          </w:sdt>
        </w:tc>
      </w:tr>
      <w:tr w:rsidR="00307A66" w:rsidRPr="00307A66" w14:paraId="1E95ADC0" w14:textId="77777777" w:rsidTr="0058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shd w:val="clear" w:color="auto" w:fill="A0A8AF"/>
          </w:tcPr>
          <w:p w14:paraId="0A8D4022" w14:textId="77777777" w:rsidR="00307A66" w:rsidRPr="00307A66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</w:rPr>
            </w:pPr>
            <w:r>
              <w:rPr>
                <w:rFonts w:ascii="Colaborate-Thin" w:hAnsi="Colaborate-Thin"/>
                <w:iCs/>
                <w:color w:val="000000" w:themeColor="text1"/>
              </w:rPr>
              <w:t>Contesto sociale, politico e di sicurezza delle aree di conflitto e ad alto rischio</w:t>
            </w:r>
          </w:p>
          <w:p w14:paraId="67E200BC" w14:textId="77777777" w:rsidR="00307A66" w:rsidRPr="00307A66" w:rsidRDefault="00307A66" w:rsidP="00EC595A">
            <w:pPr>
              <w:rPr>
                <w:rFonts w:ascii="Colaborate-Thin" w:hAnsi="Colaborate-Thin" w:cstheme="minorHAnsi"/>
              </w:rPr>
            </w:pPr>
            <w:r>
              <w:rPr>
                <w:rFonts w:ascii="Colaborate-Thin" w:hAnsi="Colaborate-Thin"/>
                <w:b w:val="0"/>
                <w:bCs w:val="0"/>
              </w:rPr>
              <w:t>Da aggiornare nell’ambito del programma di raccolta costante delle informazioni, ad es. alla pubblicazione di nuove relazioni.</w:t>
            </w:r>
          </w:p>
          <w:p w14:paraId="644328D3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</w:p>
          <w:p w14:paraId="7F822281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Esempi di documentazione (non tutti sono documenti obbligatori):</w:t>
            </w:r>
          </w:p>
          <w:p w14:paraId="3E72B8BB" w14:textId="77777777" w:rsidR="00307A66" w:rsidRPr="00307A66" w:rsidRDefault="00307A66" w:rsidP="00307A66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Relazioni ONG</w:t>
            </w:r>
          </w:p>
          <w:p w14:paraId="5225C02A" w14:textId="77777777" w:rsidR="00307A66" w:rsidRPr="00307A66" w:rsidRDefault="00307A66" w:rsidP="00307A66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Relazioni ONU</w:t>
            </w:r>
          </w:p>
          <w:p w14:paraId="0D49EA1F" w14:textId="77777777" w:rsidR="00307A66" w:rsidRPr="00307A66" w:rsidRDefault="00307A66" w:rsidP="00307A66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Valutazioni di </w:t>
            </w:r>
            <w:proofErr w:type="spellStart"/>
            <w:r>
              <w:rPr>
                <w:rFonts w:ascii="Colaborate-Thin" w:hAnsi="Colaborate-Thin"/>
                <w:b w:val="0"/>
              </w:rPr>
              <w:t>governance</w:t>
            </w:r>
            <w:proofErr w:type="spellEnd"/>
          </w:p>
          <w:p w14:paraId="67A75916" w14:textId="77777777" w:rsidR="00307A66" w:rsidRPr="00307A66" w:rsidRDefault="00307A66" w:rsidP="00307A66">
            <w:pPr>
              <w:pStyle w:val="Paragraphedeliste"/>
              <w:numPr>
                <w:ilvl w:val="0"/>
                <w:numId w:val="2"/>
              </w:numPr>
              <w:rPr>
                <w:rFonts w:ascii="Colaborate-Thin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Relazioni dei mezzi di informazione</w:t>
            </w:r>
          </w:p>
          <w:p w14:paraId="1A11992E" w14:textId="77777777" w:rsidR="00307A66" w:rsidRPr="00307A66" w:rsidRDefault="00307A66" w:rsidP="00EC595A">
            <w:pPr>
              <w:rPr>
                <w:rFonts w:ascii="Colaborate-Thin" w:hAnsi="Colaborate-Thin" w:cstheme="minorHAnsi"/>
                <w:i/>
              </w:rPr>
            </w:pPr>
          </w:p>
        </w:tc>
        <w:tc>
          <w:tcPr>
            <w:tcW w:w="400" w:type="pct"/>
            <w:shd w:val="clear" w:color="auto" w:fill="A0A8AF"/>
          </w:tcPr>
          <w:p w14:paraId="302E3AAD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88DC4D4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1C4EBE1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A9A021D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14FD13F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720022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1B5F5D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06710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2647D5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48261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9E7013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5023927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3E5D80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307A66" w:rsidRPr="00307A66" w14:paraId="3EA0F8EE" w14:textId="77777777" w:rsidTr="00EC595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</w:tcPr>
          <w:p w14:paraId="6F3765B4" w14:textId="189802C1" w:rsidR="00307A66" w:rsidRPr="00307A66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</w:rPr>
            </w:pPr>
            <w:r>
              <w:rPr>
                <w:rFonts w:ascii="Colaborate-Thin" w:hAnsi="Colaborate-Thin"/>
              </w:rPr>
              <w:t>Ulteriori informazioni sulla fonte dei diamanti grezzi/gemme colorate estratti</w:t>
            </w:r>
            <w:r>
              <w:rPr>
                <w:rFonts w:ascii="Colaborate-Thin" w:hAnsi="Colaborate-Thin"/>
                <w:iCs/>
                <w:color w:val="000000" w:themeColor="text1"/>
              </w:rPr>
              <w:t xml:space="preserve"> da filiere a</w:t>
            </w:r>
            <w:r w:rsidR="00EA472B">
              <w:rPr>
                <w:rFonts w:ascii="Colaborate-Thin" w:hAnsi="Colaborate-Thin"/>
                <w:iCs/>
                <w:color w:val="000000" w:themeColor="text1"/>
              </w:rPr>
              <w:t> </w:t>
            </w:r>
            <w:r>
              <w:rPr>
                <w:rFonts w:ascii="Colaborate-Thin" w:hAnsi="Colaborate-Thin"/>
                <w:iCs/>
                <w:color w:val="000000" w:themeColor="text1"/>
              </w:rPr>
              <w:t>rischio.</w:t>
            </w:r>
          </w:p>
          <w:p w14:paraId="3B45AB1E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 xml:space="preserve">Devono essere raccolte con la frequenza necessaria a garantire di disporre sempre di informazioni aggiornate (esempi forniti a seguire). </w:t>
            </w:r>
          </w:p>
          <w:p w14:paraId="7AC27A22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</w:rPr>
            </w:pPr>
          </w:p>
          <w:p w14:paraId="11D45B32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Esempi di documentazione (non tutti sono documenti obbligatori):</w:t>
            </w:r>
          </w:p>
          <w:p w14:paraId="1ABB55EC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Relazioni in materia di tracciabilità/catena di custodia dal sito minerario di origine</w:t>
            </w:r>
          </w:p>
          <w:p w14:paraId="1FDC0086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Dati sulla produzione mineraria</w:t>
            </w:r>
          </w:p>
          <w:p w14:paraId="560CDA96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Indagini geologiche (per verificare la plausibilità della fonte di produzione) </w:t>
            </w:r>
          </w:p>
          <w:p w14:paraId="462A9864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Relazioni delle valutazioni sul posto</w:t>
            </w:r>
          </w:p>
          <w:p w14:paraId="6B24FD62" w14:textId="77777777" w:rsidR="00307A66" w:rsidRPr="00307A66" w:rsidRDefault="00307A66" w:rsidP="00307A66">
            <w:pPr>
              <w:pStyle w:val="Paragraphedeliste"/>
              <w:numPr>
                <w:ilvl w:val="0"/>
                <w:numId w:val="3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 xml:space="preserve">Relazioni sugli incidenti </w:t>
            </w:r>
          </w:p>
          <w:p w14:paraId="05197644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i/>
                <w:lang w:val="en-AU"/>
              </w:rPr>
            </w:pPr>
          </w:p>
        </w:tc>
        <w:tc>
          <w:tcPr>
            <w:tcW w:w="400" w:type="pct"/>
          </w:tcPr>
          <w:p w14:paraId="3CDAC447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FA8ACC3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4F88DED" w14:textId="77777777" w:rsidR="00307A66" w:rsidRPr="00307A66" w:rsidRDefault="00307A6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E69BC2C" w14:textId="77777777" w:rsidR="00307A66" w:rsidRPr="00307A66" w:rsidRDefault="00307A6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3964E696" w14:textId="77777777" w:rsidR="00307A66" w:rsidRPr="00307A66" w:rsidRDefault="00307A66" w:rsidP="00EC5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134462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EED30B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13814433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2342EF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975523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CBA110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824813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EEE5A4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336234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EC7DBF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307A66" w:rsidRPr="00307A66" w14:paraId="7D4E124B" w14:textId="77777777" w:rsidTr="00585D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  <w:shd w:val="clear" w:color="auto" w:fill="A0A8AF"/>
          </w:tcPr>
          <w:p w14:paraId="407A958F" w14:textId="77777777" w:rsidR="00307A66" w:rsidRPr="00307A66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eastAsia="Calibri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</w:rPr>
              <w:t>Pagamenti di imposte, royalty, tariffe e altro effettuati al governo</w:t>
            </w:r>
          </w:p>
          <w:p w14:paraId="39C85349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  <w:lang w:val="en-AU"/>
              </w:rPr>
            </w:pPr>
          </w:p>
          <w:p w14:paraId="552FE42C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Esempi di documentazione (non tutti sono documenti obbligatori):</w:t>
            </w:r>
          </w:p>
          <w:p w14:paraId="29513EDB" w14:textId="77777777" w:rsidR="00307A66" w:rsidRPr="00307A66" w:rsidRDefault="00307A66" w:rsidP="00307A66">
            <w:pPr>
              <w:pStyle w:val="Paragraphedeliste"/>
              <w:numPr>
                <w:ilvl w:val="0"/>
                <w:numId w:val="4"/>
              </w:numPr>
              <w:ind w:left="360"/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Fatture e registri dei pagamenti (si applica anche alla produzione AEA)</w:t>
            </w:r>
          </w:p>
          <w:p w14:paraId="2CE52D5A" w14:textId="77777777" w:rsidR="00307A66" w:rsidRPr="00307A66" w:rsidRDefault="00307A66" w:rsidP="00307A66">
            <w:pPr>
              <w:pStyle w:val="Paragraphedeliste"/>
              <w:numPr>
                <w:ilvl w:val="0"/>
                <w:numId w:val="4"/>
              </w:numPr>
              <w:ind w:left="360"/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Documentazione ufficiale delle autorità fiscali nazionali/locali</w:t>
            </w:r>
          </w:p>
          <w:p w14:paraId="6F09AEB5" w14:textId="77777777" w:rsidR="00307A66" w:rsidRPr="00EA472B" w:rsidRDefault="00307A66" w:rsidP="00EC595A">
            <w:pPr>
              <w:rPr>
                <w:rFonts w:ascii="Colaborate-Thin" w:eastAsia="Calibri" w:hAnsi="Colaborate-Thin" w:cstheme="minorHAnsi"/>
                <w:b w:val="0"/>
                <w:lang w:val="fr-BE"/>
              </w:rPr>
            </w:pPr>
          </w:p>
        </w:tc>
        <w:tc>
          <w:tcPr>
            <w:tcW w:w="400" w:type="pct"/>
            <w:shd w:val="clear" w:color="auto" w:fill="A0A8AF"/>
          </w:tcPr>
          <w:p w14:paraId="61804DDD" w14:textId="77777777" w:rsidR="00307A66" w:rsidRPr="00307A66" w:rsidRDefault="00307A66" w:rsidP="00EC5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1237F7B9" w14:textId="77777777" w:rsidR="00307A66" w:rsidRPr="00307A66" w:rsidRDefault="00307A66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8271EEB" w14:textId="77777777" w:rsidR="00307A66" w:rsidRPr="00307A66" w:rsidRDefault="00307A66" w:rsidP="00EC5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746079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D9E560" w14:textId="77777777" w:rsidR="00307A66" w:rsidRPr="00307A66" w:rsidRDefault="00307A66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55177475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418312" w14:textId="54E39286" w:rsidR="00307A66" w:rsidRPr="00307A66" w:rsidRDefault="00585D91" w:rsidP="00EC595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p>
            </w:sdtContent>
          </w:sdt>
        </w:tc>
      </w:tr>
      <w:tr w:rsidR="00307A66" w:rsidRPr="00307A66" w14:paraId="580C9A6A" w14:textId="77777777" w:rsidTr="00EC59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pct"/>
          </w:tcPr>
          <w:p w14:paraId="3720AF66" w14:textId="77777777" w:rsidR="00307A66" w:rsidRPr="00307A66" w:rsidRDefault="00307A66" w:rsidP="00307A66">
            <w:pPr>
              <w:pStyle w:val="Paragraphedeliste"/>
              <w:numPr>
                <w:ilvl w:val="0"/>
                <w:numId w:val="6"/>
              </w:numPr>
              <w:rPr>
                <w:rFonts w:ascii="Colaborate-Thin" w:hAnsi="Colaborate-Thin" w:cstheme="minorHAnsi"/>
                <w:iCs/>
                <w:color w:val="000000" w:themeColor="text1"/>
              </w:rPr>
            </w:pPr>
            <w:r>
              <w:rPr>
                <w:rFonts w:ascii="Colaborate-Thin" w:hAnsi="Colaborate-Thin"/>
              </w:rPr>
              <w:t>Pagamenti effettuati a forze di sicurezza pubbliche o private o ad altri gruppi armati</w:t>
            </w:r>
          </w:p>
          <w:p w14:paraId="7BF5A21C" w14:textId="77777777" w:rsidR="00307A66" w:rsidRPr="00307A66" w:rsidRDefault="00307A66" w:rsidP="00EC595A">
            <w:pPr>
              <w:rPr>
                <w:rFonts w:ascii="Colaborate-Thin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  <w:bCs w:val="0"/>
              </w:rPr>
              <w:t xml:space="preserve">Devono essere raccolte con la frequenza necessaria a garantire di disporre sempre di informazioni attuali (da aggiornare se cambiano le circostanze, e comunque con una cadenza minima annua). </w:t>
            </w:r>
          </w:p>
          <w:p w14:paraId="19590602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</w:p>
          <w:p w14:paraId="07483BB1" w14:textId="77777777" w:rsidR="00307A66" w:rsidRPr="00307A66" w:rsidRDefault="00307A66" w:rsidP="00EC595A">
            <w:pPr>
              <w:rPr>
                <w:rFonts w:ascii="Colaborate-Thin" w:eastAsia="Calibri" w:hAnsi="Colaborate-Thin" w:cstheme="minorHAnsi"/>
                <w:b w:val="0"/>
                <w:bCs w:val="0"/>
              </w:rPr>
            </w:pPr>
            <w:r>
              <w:rPr>
                <w:rFonts w:ascii="Colaborate-Thin" w:hAnsi="Colaborate-Thin"/>
                <w:b w:val="0"/>
              </w:rPr>
              <w:t>Esempi di documentazione (non tutti sono documenti obbligatori):</w:t>
            </w:r>
          </w:p>
          <w:p w14:paraId="7926BB48" w14:textId="77777777" w:rsidR="00307A66" w:rsidRPr="00307A66" w:rsidRDefault="00307A66" w:rsidP="00307A66">
            <w:pPr>
              <w:pStyle w:val="Paragraphedeliste"/>
              <w:numPr>
                <w:ilvl w:val="0"/>
                <w:numId w:val="5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Fatture e registri dei pagamenti</w:t>
            </w:r>
          </w:p>
          <w:p w14:paraId="5DEBAC05" w14:textId="77777777" w:rsidR="00307A66" w:rsidRPr="00307A66" w:rsidRDefault="00307A66" w:rsidP="00307A66">
            <w:pPr>
              <w:pStyle w:val="Paragraphedeliste"/>
              <w:numPr>
                <w:ilvl w:val="0"/>
                <w:numId w:val="5"/>
              </w:numPr>
              <w:rPr>
                <w:rFonts w:ascii="Colaborate-Thin" w:eastAsia="Calibri" w:hAnsi="Colaborate-Thin" w:cstheme="minorHAnsi"/>
                <w:b w:val="0"/>
              </w:rPr>
            </w:pPr>
            <w:r>
              <w:rPr>
                <w:rFonts w:ascii="Colaborate-Thin" w:hAnsi="Colaborate-Thin"/>
                <w:b w:val="0"/>
              </w:rPr>
              <w:t>Contratti con forze di sicurezza pubbliche o private</w:t>
            </w:r>
          </w:p>
          <w:p w14:paraId="35332731" w14:textId="77777777" w:rsidR="00307A66" w:rsidRPr="00EA472B" w:rsidRDefault="00307A66" w:rsidP="00EC595A">
            <w:pPr>
              <w:rPr>
                <w:rFonts w:ascii="Colaborate-Thin" w:eastAsia="Calibri" w:hAnsi="Colaborate-Thin" w:cstheme="minorHAnsi"/>
                <w:lang w:val="fr-BE"/>
              </w:rPr>
            </w:pPr>
          </w:p>
        </w:tc>
        <w:tc>
          <w:tcPr>
            <w:tcW w:w="400" w:type="pct"/>
          </w:tcPr>
          <w:p w14:paraId="06734172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EA26033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06513755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74C47132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p w14:paraId="2F3789A5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  <w:sdt>
            <w:sdtPr>
              <w:rPr>
                <w:rFonts w:ascii="Colaborate-Thin" w:hAnsi="Colaborate-Thin" w:cstheme="minorHAnsi"/>
              </w:rPr>
              <w:id w:val="-276644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A849CD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sdt>
            <w:sdtPr>
              <w:rPr>
                <w:rFonts w:ascii="Colaborate-Thin" w:hAnsi="Colaborate-Thin" w:cstheme="minorHAnsi"/>
              </w:rPr>
              <w:id w:val="-1134564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23DC31" w14:textId="77777777" w:rsidR="00307A66" w:rsidRPr="00307A66" w:rsidRDefault="00307A66" w:rsidP="00EC595A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olaborate-Thin" w:hAnsi="Colaborate-Thin" w:cstheme="minorHAnsi"/>
                  </w:rPr>
                </w:pPr>
                <w:r w:rsidRPr="00307A6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  <w:p w14:paraId="21C32FC7" w14:textId="77777777" w:rsidR="00307A66" w:rsidRPr="00307A66" w:rsidRDefault="00307A66" w:rsidP="00EC5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laborate-Thin" w:hAnsi="Colaborate-Thin" w:cstheme="minorHAnsi"/>
              </w:rPr>
            </w:pPr>
          </w:p>
        </w:tc>
      </w:tr>
    </w:tbl>
    <w:p w14:paraId="7D658805" w14:textId="77777777" w:rsidR="00A40F38" w:rsidRPr="00307A66" w:rsidRDefault="00A40F38">
      <w:pPr>
        <w:rPr>
          <w:rFonts w:ascii="Colaborate-Thin" w:hAnsi="Colaborate-Thin"/>
        </w:rPr>
      </w:pPr>
    </w:p>
    <w:sectPr w:rsidR="00A40F38" w:rsidRPr="00307A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20102010804080708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laborate-Thin">
    <w:altName w:val="﷽﷽﷽﷽﷽﷽﷽﷽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73E6"/>
    <w:multiLevelType w:val="hybridMultilevel"/>
    <w:tmpl w:val="35C059A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52B91"/>
    <w:multiLevelType w:val="hybridMultilevel"/>
    <w:tmpl w:val="C30E7E5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B72948"/>
    <w:multiLevelType w:val="hybridMultilevel"/>
    <w:tmpl w:val="F11698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6D43DD"/>
    <w:multiLevelType w:val="hybridMultilevel"/>
    <w:tmpl w:val="890620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A0D3D90"/>
    <w:multiLevelType w:val="hybridMultilevel"/>
    <w:tmpl w:val="04686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D668D"/>
    <w:multiLevelType w:val="hybridMultilevel"/>
    <w:tmpl w:val="1D0A7B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66"/>
    <w:rsid w:val="00307A66"/>
    <w:rsid w:val="00585D91"/>
    <w:rsid w:val="006B43B4"/>
    <w:rsid w:val="006F21E7"/>
    <w:rsid w:val="008C70BE"/>
    <w:rsid w:val="00A40F38"/>
    <w:rsid w:val="00DF65BC"/>
    <w:rsid w:val="00EA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1990"/>
  <w15:chartTrackingRefBased/>
  <w15:docId w15:val="{4E8A7C68-13FA-4AC3-A2E2-8D3C9CD4B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A66"/>
  </w:style>
  <w:style w:type="paragraph" w:styleId="Titre1">
    <w:name w:val="heading 1"/>
    <w:basedOn w:val="Normal"/>
    <w:next w:val="Normal"/>
    <w:link w:val="Titre1Car"/>
    <w:uiPriority w:val="9"/>
    <w:qFormat/>
    <w:rsid w:val="00307A66"/>
    <w:pPr>
      <w:shd w:val="clear" w:color="auto" w:fill="D9E2F3" w:themeFill="accent1" w:themeFillTint="33"/>
      <w:spacing w:after="0"/>
      <w:outlineLvl w:val="0"/>
    </w:pPr>
    <w:rPr>
      <w:b/>
      <w:color w:val="00B05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7A66"/>
    <w:rPr>
      <w:b/>
      <w:color w:val="00B050"/>
      <w:sz w:val="28"/>
      <w:szCs w:val="28"/>
      <w:shd w:val="clear" w:color="auto" w:fill="D9E2F3" w:themeFill="accent1" w:themeFillTint="33"/>
    </w:rPr>
  </w:style>
  <w:style w:type="paragraph" w:styleId="Paragraphedeliste">
    <w:name w:val="List Paragraph"/>
    <w:basedOn w:val="Normal"/>
    <w:uiPriority w:val="34"/>
    <w:qFormat/>
    <w:rsid w:val="00307A66"/>
    <w:pPr>
      <w:ind w:left="720"/>
      <w:contextualSpacing/>
    </w:pPr>
  </w:style>
  <w:style w:type="table" w:styleId="Tableausimple1">
    <w:name w:val="Plain Table 1"/>
    <w:basedOn w:val="TableauNormal"/>
    <w:uiPriority w:val="41"/>
    <w:rsid w:val="00307A6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8F493F35C7C4FA391B0A2F26ADCA2" ma:contentTypeVersion="11" ma:contentTypeDescription="Create a new document." ma:contentTypeScope="" ma:versionID="eb3ae6039cf4997bcb82800f9e494704">
  <xsd:schema xmlns:xsd="http://www.w3.org/2001/XMLSchema" xmlns:xs="http://www.w3.org/2001/XMLSchema" xmlns:p="http://schemas.microsoft.com/office/2006/metadata/properties" xmlns:ns2="bec99ced-bfee-43d6-9e0a-031d47fc0b52" xmlns:ns3="3118ec7f-5817-4e03-9a07-cdc1a79a8452" targetNamespace="http://schemas.microsoft.com/office/2006/metadata/properties" ma:root="true" ma:fieldsID="623ff45cb452740f5d36ae5d5b7c14bb" ns2:_="" ns3:_="">
    <xsd:import namespace="bec99ced-bfee-43d6-9e0a-031d47fc0b52"/>
    <xsd:import namespace="3118ec7f-5817-4e03-9a07-cdc1a79a84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c99ced-bfee-43d6-9e0a-031d47fc0b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8ec7f-5817-4e03-9a07-cdc1a79a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E5F2ED-238B-457E-860C-7C278808C68B}"/>
</file>

<file path=customXml/itemProps2.xml><?xml version="1.0" encoding="utf-8"?>
<ds:datastoreItem xmlns:ds="http://schemas.openxmlformats.org/officeDocument/2006/customXml" ds:itemID="{20F27964-53D6-4136-8330-866D6118773A}"/>
</file>

<file path=customXml/itemProps3.xml><?xml version="1.0" encoding="utf-8"?>
<ds:datastoreItem xmlns:ds="http://schemas.openxmlformats.org/officeDocument/2006/customXml" ds:itemID="{9C4C6C2E-473F-41DA-803E-49A2F63A8D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Dawkins</dc:creator>
  <cp:keywords/>
  <dc:description/>
  <cp:lastModifiedBy>Jean-Paul Van Ginneken</cp:lastModifiedBy>
  <cp:revision>2</cp:revision>
  <dcterms:created xsi:type="dcterms:W3CDTF">2020-12-14T17:03:00Z</dcterms:created>
  <dcterms:modified xsi:type="dcterms:W3CDTF">2020-12-14T17:03:00Z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0x0101006A18F493F35C7C4FA391B0A2F26ADCA2</vt:lpwstr>
  </property>
</Properties>
</file>